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B196" w14:textId="77777777" w:rsidR="00FC4AC4" w:rsidRPr="00454E4F" w:rsidRDefault="00C86A36" w:rsidP="00267442">
      <w:pPr>
        <w:jc w:val="center"/>
        <w:rPr>
          <w:rFonts w:ascii="Times New Roman" w:hAnsi="Times New Roman" w:cs="Times New Roman"/>
          <w:b/>
          <w:lang w:val="en-US"/>
        </w:rPr>
      </w:pPr>
      <w:r w:rsidRPr="00454E4F">
        <w:rPr>
          <w:rFonts w:ascii="Times New Roman" w:hAnsi="Times New Roman" w:cs="Times New Roman"/>
          <w:b/>
          <w:lang w:val="en-US"/>
        </w:rPr>
        <w:t>Theoretical and experimental investigation on the optimization of accelerator driven subcritical reactors</w:t>
      </w:r>
    </w:p>
    <w:p w14:paraId="4054A019" w14:textId="35A2AAC8" w:rsidR="00454E4F" w:rsidRDefault="00454E4F" w:rsidP="00454E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76AE">
        <w:rPr>
          <w:rFonts w:ascii="Times New Roman" w:hAnsi="Times New Roman" w:cs="Times New Roman"/>
          <w:sz w:val="24"/>
          <w:szCs w:val="24"/>
          <w:u w:val="single"/>
          <w:lang w:val="en-US"/>
        </w:rPr>
        <w:t>T. N. Tran</w:t>
      </w:r>
      <w:r w:rsidRPr="006376AE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1,</w:t>
      </w:r>
      <w:r w:rsidRPr="006376A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5C3C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376A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1166">
        <w:rPr>
          <w:rFonts w:ascii="Times New Roman" w:hAnsi="Times New Roman" w:cs="Times New Roman"/>
          <w:sz w:val="24"/>
          <w:szCs w:val="24"/>
          <w:lang w:val="en-US"/>
        </w:rPr>
        <w:t xml:space="preserve"> Paraipan</w:t>
      </w:r>
      <w:r w:rsidRPr="002111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A. Abduvaliev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A. Balabekyan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, O.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 V. Belov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F. H. Ergashev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098EB627" w14:textId="77777777" w:rsidR="00454E4F" w:rsidRDefault="00454E4F" w:rsidP="00454E4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 M. Javadova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 V. Korneev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 L.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 K. Kostov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,6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J. H. Khushvaktov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 A. Kulikov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A. A. Solnyshkin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V. V. Sorokin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Pr="002839BF">
        <w:rPr>
          <w:rFonts w:ascii="Times New Roman" w:hAnsi="Times New Roman" w:cs="Times New Roman"/>
          <w:sz w:val="24"/>
          <w:szCs w:val="24"/>
          <w:lang w:val="en-US"/>
        </w:rPr>
        <w:t xml:space="preserve"> I. Tyutyunnikov</w:t>
      </w:r>
      <w:r w:rsidRPr="002839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42EEAC31" w14:textId="77777777" w:rsidR="00454E4F" w:rsidRPr="00835BD9" w:rsidRDefault="00454E4F" w:rsidP="00454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50AC37" w14:textId="77777777" w:rsidR="00454E4F" w:rsidRPr="006E7D55" w:rsidRDefault="00454E4F" w:rsidP="00454E4F">
      <w:pPr>
        <w:tabs>
          <w:tab w:val="left" w:pos="30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7D5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6E7D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Joint Institute for Nuclear Research, 6 Joliot-Curie st., Dubna, Russia, 141980</w:t>
      </w:r>
    </w:p>
    <w:p w14:paraId="06EBA0B6" w14:textId="77777777" w:rsidR="00454E4F" w:rsidRPr="006E7D55" w:rsidRDefault="00454E4F" w:rsidP="00454E4F">
      <w:pPr>
        <w:tabs>
          <w:tab w:val="left" w:pos="30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7D5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6E7D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Institute of Space Science, 409 Atomistilor st., Magurele, Ilfov, Romania, 077125</w:t>
      </w:r>
    </w:p>
    <w:p w14:paraId="18811AB8" w14:textId="77777777" w:rsidR="00454E4F" w:rsidRDefault="00454E4F" w:rsidP="00454E4F">
      <w:pPr>
        <w:pStyle w:val="Standard"/>
        <w:tabs>
          <w:tab w:val="left" w:pos="30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F2803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3</w:t>
      </w:r>
      <w:r w:rsidRPr="006E7D55">
        <w:rPr>
          <w:rFonts w:ascii="Times New Roman" w:hAnsi="Times New Roman" w:cs="Times New Roman"/>
          <w:i/>
          <w:sz w:val="24"/>
          <w:szCs w:val="24"/>
          <w:lang w:val="en-US"/>
        </w:rPr>
        <w:t>Institute of Nuclear Physics, Tashkent, Uzbekistan</w:t>
      </w:r>
    </w:p>
    <w:p w14:paraId="2BEACBF4" w14:textId="77777777" w:rsidR="00454E4F" w:rsidRPr="006E7D55" w:rsidRDefault="00454E4F" w:rsidP="00454E4F">
      <w:pPr>
        <w:pStyle w:val="Standard"/>
        <w:tabs>
          <w:tab w:val="left" w:pos="301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International Center of Advanced Studies Yerevan State University, Yerevan, Armenia,0025</w:t>
      </w:r>
    </w:p>
    <w:p w14:paraId="699F1193" w14:textId="77777777" w:rsidR="00454E4F" w:rsidRDefault="00454E4F" w:rsidP="00454E4F">
      <w:pPr>
        <w:tabs>
          <w:tab w:val="left" w:pos="30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5</w:t>
      </w:r>
      <w:r w:rsidRPr="001F2803">
        <w:rPr>
          <w:rFonts w:ascii="Times New Roman" w:hAnsi="Times New Roman" w:cs="Times New Roman"/>
          <w:i/>
          <w:sz w:val="24"/>
          <w:szCs w:val="24"/>
          <w:lang w:val="en-US"/>
        </w:rPr>
        <w:t>Joint Institute for Energy and Nuclear Research- Sosny, Minsk, Belarus</w:t>
      </w:r>
    </w:p>
    <w:p w14:paraId="16722E9D" w14:textId="77777777" w:rsidR="00454E4F" w:rsidRPr="001F2803" w:rsidRDefault="00454E4F" w:rsidP="00454E4F">
      <w:pPr>
        <w:tabs>
          <w:tab w:val="left" w:pos="30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4058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6</w:t>
      </w:r>
      <w:r w:rsidRPr="00E64058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for Nuclear Research and Nuclear Energy, Tsarigradsko Shose Blvd. 72, Sofia, Bulgaria, 1784</w:t>
      </w:r>
    </w:p>
    <w:p w14:paraId="3572FA54" w14:textId="77777777" w:rsidR="00454E4F" w:rsidRDefault="00454E4F" w:rsidP="00454E4F">
      <w:pPr>
        <w:tabs>
          <w:tab w:val="left" w:pos="3015"/>
        </w:tabs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7</w:t>
      </w:r>
      <w:r w:rsidRPr="006E7D55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of Physics of the Vietnam Academy of Science and Technology, Hanoi, Vietnam</w:t>
      </w:r>
    </w:p>
    <w:p w14:paraId="00E9A8FC" w14:textId="459C5AB8" w:rsidR="005C3C7D" w:rsidRPr="006E7D55" w:rsidRDefault="005C3C7D" w:rsidP="00454E4F">
      <w:pPr>
        <w:tabs>
          <w:tab w:val="left" w:pos="30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C3C7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8</w:t>
      </w:r>
      <w:r w:rsidRPr="005C3C7D">
        <w:rPr>
          <w:rFonts w:ascii="Times New Roman" w:hAnsi="Times New Roman" w:cs="Times New Roman"/>
          <w:i/>
          <w:sz w:val="24"/>
          <w:szCs w:val="24"/>
          <w:lang w:val="en-US"/>
        </w:rPr>
        <w:t>Institute for Nuclear Science and Technology, VINATOM, Hanoi, Vietnam</w:t>
      </w:r>
    </w:p>
    <w:p w14:paraId="1B244947" w14:textId="77777777" w:rsidR="00454E4F" w:rsidRDefault="00454E4F" w:rsidP="00472A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14:paraId="36A39F42" w14:textId="045809D8" w:rsidR="00D64834" w:rsidRPr="00454E4F" w:rsidRDefault="00C86A36" w:rsidP="00472A30">
      <w:pPr>
        <w:spacing w:after="0"/>
        <w:ind w:firstLine="708"/>
        <w:rPr>
          <w:rFonts w:ascii="Times New Roman" w:hAnsi="Times New Roman" w:cs="Times New Roman"/>
          <w:lang w:val="en-US"/>
        </w:rPr>
      </w:pPr>
      <w:r w:rsidRPr="00454E4F">
        <w:rPr>
          <w:rFonts w:ascii="Times New Roman" w:hAnsi="Times New Roman" w:cs="Times New Roman"/>
          <w:lang w:val="en-US"/>
        </w:rPr>
        <w:t>A new approach for accelerator driven subcritical reactors (ADSR), focused on their use as efficient source of energy was developed</w:t>
      </w:r>
      <w:r w:rsidR="00454E4F">
        <w:rPr>
          <w:rFonts w:ascii="Times New Roman" w:hAnsi="Times New Roman" w:cs="Times New Roman"/>
          <w:lang w:val="en-US"/>
        </w:rPr>
        <w:t xml:space="preserve"> [1,2]</w:t>
      </w:r>
      <w:r w:rsidR="00C202F3" w:rsidRPr="00454E4F">
        <w:rPr>
          <w:rFonts w:ascii="Times New Roman" w:hAnsi="Times New Roman" w:cs="Times New Roman"/>
          <w:lang w:val="en-US"/>
        </w:rPr>
        <w:t xml:space="preserve">. </w:t>
      </w:r>
      <w:r w:rsidR="00652E12" w:rsidRPr="00454E4F">
        <w:rPr>
          <w:rFonts w:ascii="Times New Roman" w:hAnsi="Times New Roman" w:cs="Times New Roman"/>
          <w:lang w:val="en-US"/>
        </w:rPr>
        <w:t>Active zones with larger dimensions offer the possibility to obtain the needed value of the effective multiplication factor k</w:t>
      </w:r>
      <w:r w:rsidR="00652E12" w:rsidRPr="00454E4F">
        <w:rPr>
          <w:rFonts w:ascii="Times New Roman" w:hAnsi="Times New Roman" w:cs="Times New Roman"/>
          <w:vertAlign w:val="subscript"/>
          <w:lang w:val="en-US"/>
        </w:rPr>
        <w:t>eff</w:t>
      </w:r>
      <w:r w:rsidR="00652E12" w:rsidRPr="00454E4F">
        <w:rPr>
          <w:rFonts w:ascii="Times New Roman" w:hAnsi="Times New Roman" w:cs="Times New Roman"/>
          <w:lang w:val="en-US"/>
        </w:rPr>
        <w:t xml:space="preserve"> with lower enrichment, allowing longer cycle and deeper actinides burning (15-20%) during the cycle.</w:t>
      </w:r>
      <w:r w:rsidR="00D64834" w:rsidRPr="00454E4F">
        <w:rPr>
          <w:rFonts w:ascii="Times New Roman" w:hAnsi="Times New Roman" w:cs="Times New Roman"/>
          <w:lang w:val="en-US"/>
        </w:rPr>
        <w:t xml:space="preserve"> </w:t>
      </w:r>
      <w:r w:rsidR="00652E12" w:rsidRPr="00454E4F">
        <w:rPr>
          <w:rFonts w:ascii="Times New Roman" w:hAnsi="Times New Roman" w:cs="Times New Roman"/>
          <w:lang w:val="en-US"/>
        </w:rPr>
        <w:t>The working value of k</w:t>
      </w:r>
      <w:r w:rsidR="00652E12" w:rsidRPr="00454E4F">
        <w:rPr>
          <w:rFonts w:ascii="Times New Roman" w:hAnsi="Times New Roman" w:cs="Times New Roman"/>
          <w:vertAlign w:val="subscript"/>
          <w:lang w:val="en-US"/>
        </w:rPr>
        <w:t>eff</w:t>
      </w:r>
      <w:r w:rsidR="00652E12" w:rsidRPr="00454E4F">
        <w:rPr>
          <w:rFonts w:ascii="Times New Roman" w:hAnsi="Times New Roman" w:cs="Times New Roman"/>
          <w:lang w:val="en-US"/>
        </w:rPr>
        <w:t xml:space="preserve"> </w:t>
      </w:r>
      <w:r w:rsidR="00D64834" w:rsidRPr="00454E4F">
        <w:rPr>
          <w:rFonts w:ascii="Times New Roman" w:hAnsi="Times New Roman" w:cs="Times New Roman"/>
          <w:lang w:val="en-US"/>
        </w:rPr>
        <w:t xml:space="preserve">maintained in the range 0.985-0.988 with the help of control rods </w:t>
      </w:r>
      <w:r w:rsidR="00652E12" w:rsidRPr="00454E4F">
        <w:rPr>
          <w:rFonts w:ascii="Times New Roman" w:hAnsi="Times New Roman" w:cs="Times New Roman"/>
          <w:lang w:val="en-US"/>
        </w:rPr>
        <w:t>ensures a safe exploitation, avoids</w:t>
      </w:r>
      <w:r w:rsidR="00D64834" w:rsidRPr="00454E4F">
        <w:rPr>
          <w:rFonts w:ascii="Times New Roman" w:hAnsi="Times New Roman" w:cs="Times New Roman"/>
          <w:lang w:val="en-US"/>
        </w:rPr>
        <w:t xml:space="preserve"> reaching the criticality during unprotected transients </w:t>
      </w:r>
      <w:r w:rsidR="00373709" w:rsidRPr="00454E4F">
        <w:rPr>
          <w:rFonts w:ascii="Times New Roman" w:hAnsi="Times New Roman" w:cs="Times New Roman"/>
          <w:lang w:val="en-US"/>
        </w:rPr>
        <w:t>or</w:t>
      </w:r>
      <w:r w:rsidR="00D64834" w:rsidRPr="00454E4F">
        <w:rPr>
          <w:rFonts w:ascii="Times New Roman" w:hAnsi="Times New Roman" w:cs="Times New Roman"/>
          <w:lang w:val="en-US"/>
        </w:rPr>
        <w:t xml:space="preserve"> core damage, and is sufficiently high to realize energy gain above 15. One of the most interesting finding concerns the possibility to use light ion beams as </w:t>
      </w:r>
      <w:r w:rsidR="00D64834" w:rsidRPr="00454E4F">
        <w:rPr>
          <w:rFonts w:ascii="Times New Roman" w:hAnsi="Times New Roman" w:cs="Times New Roman"/>
          <w:vertAlign w:val="superscript"/>
          <w:lang w:val="en-US"/>
        </w:rPr>
        <w:t>7</w:t>
      </w:r>
      <w:r w:rsidR="00D64834" w:rsidRPr="00454E4F">
        <w:rPr>
          <w:rFonts w:ascii="Times New Roman" w:hAnsi="Times New Roman" w:cs="Times New Roman"/>
          <w:lang w:val="en-US"/>
        </w:rPr>
        <w:t xml:space="preserve">Li or </w:t>
      </w:r>
      <w:r w:rsidR="00D64834" w:rsidRPr="00454E4F">
        <w:rPr>
          <w:rFonts w:ascii="Times New Roman" w:hAnsi="Times New Roman" w:cs="Times New Roman"/>
          <w:vertAlign w:val="superscript"/>
          <w:lang w:val="en-US"/>
        </w:rPr>
        <w:t>9</w:t>
      </w:r>
      <w:r w:rsidR="00D64834" w:rsidRPr="00454E4F">
        <w:rPr>
          <w:rFonts w:ascii="Times New Roman" w:hAnsi="Times New Roman" w:cs="Times New Roman"/>
          <w:lang w:val="en-US"/>
        </w:rPr>
        <w:t>Be with energy 0.25 -0.3 GeV/n instead of 1-1.5 GeV protons.</w:t>
      </w:r>
    </w:p>
    <w:p w14:paraId="3E2189CF" w14:textId="77777777" w:rsidR="00D64834" w:rsidRDefault="00D64834" w:rsidP="00472A30">
      <w:pPr>
        <w:spacing w:after="0"/>
        <w:ind w:firstLine="708"/>
        <w:rPr>
          <w:rFonts w:ascii="Times New Roman" w:hAnsi="Times New Roman" w:cs="Times New Roman"/>
          <w:lang w:val="en-US"/>
        </w:rPr>
      </w:pPr>
      <w:r w:rsidRPr="00454E4F">
        <w:rPr>
          <w:rFonts w:ascii="Times New Roman" w:hAnsi="Times New Roman" w:cs="Times New Roman"/>
          <w:lang w:val="en-US"/>
        </w:rPr>
        <w:t>The analysis of possible experiments meant to compare the energy efficiency of different beams</w:t>
      </w:r>
      <w:r w:rsidR="00373709" w:rsidRPr="00454E4F">
        <w:rPr>
          <w:rFonts w:ascii="Times New Roman" w:hAnsi="Times New Roman" w:cs="Times New Roman"/>
          <w:lang w:val="en-US"/>
        </w:rPr>
        <w:t xml:space="preserve"> showed that the most reliable results are obtained by measuring the fission distribution inside a large target. A suitable lead target LETASUR is presented. The study about the radiation exposure demonstrates that </w:t>
      </w:r>
      <w:r w:rsidR="00C202F3" w:rsidRPr="00454E4F">
        <w:rPr>
          <w:rFonts w:ascii="Times New Roman" w:hAnsi="Times New Roman" w:cs="Times New Roman"/>
          <w:lang w:val="en-US"/>
        </w:rPr>
        <w:t>the shielding design of the experimental room SHINE allows safely using beam intensities of 10</w:t>
      </w:r>
      <w:r w:rsidR="00C202F3" w:rsidRPr="00454E4F">
        <w:rPr>
          <w:rFonts w:ascii="Times New Roman" w:hAnsi="Times New Roman" w:cs="Times New Roman"/>
          <w:vertAlign w:val="superscript"/>
          <w:lang w:val="en-US"/>
        </w:rPr>
        <w:t>9</w:t>
      </w:r>
      <w:r w:rsidR="00C202F3" w:rsidRPr="00454E4F">
        <w:rPr>
          <w:rFonts w:ascii="Times New Roman" w:hAnsi="Times New Roman" w:cs="Times New Roman"/>
          <w:lang w:val="en-US"/>
        </w:rPr>
        <w:t xml:space="preserve">p/s. </w:t>
      </w:r>
      <w:r w:rsidR="00F84384" w:rsidRPr="00454E4F">
        <w:rPr>
          <w:rFonts w:ascii="Times New Roman" w:hAnsi="Times New Roman" w:cs="Times New Roman"/>
          <w:lang w:val="en-US"/>
        </w:rPr>
        <w:t>P</w:t>
      </w:r>
      <w:r w:rsidR="00584B88" w:rsidRPr="00454E4F">
        <w:rPr>
          <w:rFonts w:ascii="Times New Roman" w:hAnsi="Times New Roman" w:cs="Times New Roman"/>
          <w:lang w:val="en-US"/>
        </w:rPr>
        <w:t>lans for further research activity are presented.</w:t>
      </w:r>
    </w:p>
    <w:p w14:paraId="6C54219D" w14:textId="77777777" w:rsidR="00454E4F" w:rsidRDefault="00454E4F" w:rsidP="00472A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14:paraId="2C658EC5" w14:textId="77777777" w:rsidR="00454E4F" w:rsidRDefault="00454E4F" w:rsidP="00472A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14:paraId="47856AA6" w14:textId="77777777" w:rsidR="00454E4F" w:rsidRPr="00454E4F" w:rsidRDefault="00454E4F" w:rsidP="00454E4F">
      <w:pPr>
        <w:spacing w:after="0"/>
        <w:rPr>
          <w:rFonts w:ascii="Times New Roman" w:hAnsi="Times New Roman" w:cs="Times New Roman"/>
          <w:lang w:val="en-US"/>
        </w:rPr>
      </w:pPr>
      <w:r w:rsidRPr="00454E4F">
        <w:rPr>
          <w:rFonts w:ascii="Times New Roman" w:hAnsi="Times New Roman" w:cs="Times New Roman"/>
          <w:lang w:val="en-US"/>
        </w:rPr>
        <w:t>Literature:</w:t>
      </w:r>
    </w:p>
    <w:p w14:paraId="4DF50E28" w14:textId="49253BBC" w:rsidR="00454E4F" w:rsidRPr="00454E4F" w:rsidRDefault="00454E4F" w:rsidP="00454E4F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Pr="00454E4F">
        <w:rPr>
          <w:rFonts w:ascii="Times New Roman" w:hAnsi="Times New Roman" w:cs="Times New Roman"/>
          <w:lang w:val="en-US"/>
        </w:rPr>
        <w:t xml:space="preserve">. Paraipan, M., Javadova, V. M., &amp; Tyutyunnikov, S. I. (2023). Influence of Particle Beam and Accelerator Type on ADS Efficiency. Nuclear Science and Engineering, 198(1), 109–120. </w:t>
      </w:r>
    </w:p>
    <w:p w14:paraId="075094F2" w14:textId="7E40418D" w:rsidR="00454E4F" w:rsidRPr="00454E4F" w:rsidRDefault="00454E4F" w:rsidP="00454E4F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Pr="00454E4F">
        <w:rPr>
          <w:rFonts w:ascii="Times New Roman" w:hAnsi="Times New Roman" w:cs="Times New Roman"/>
          <w:lang w:val="en-US"/>
        </w:rPr>
        <w:t>. Paraipan, M.M., Kryachko, I.A., Javadova, V.M. et al. Main Results of Neutronical Study about ADS with Ion Beams and Implications on Experiments Planning. Phys. Part. Nuclei Lett. 19, 129–144 (2022)</w:t>
      </w:r>
    </w:p>
    <w:p w14:paraId="27B09415" w14:textId="77777777" w:rsidR="00267442" w:rsidRPr="00454E4F" w:rsidRDefault="00267442">
      <w:pPr>
        <w:rPr>
          <w:rFonts w:ascii="Times New Roman" w:hAnsi="Times New Roman" w:cs="Times New Roman"/>
          <w:lang w:val="en-US"/>
        </w:rPr>
      </w:pPr>
    </w:p>
    <w:p w14:paraId="3C2DA0DA" w14:textId="77777777" w:rsidR="00472A30" w:rsidRPr="00454E4F" w:rsidRDefault="00472A30" w:rsidP="00267442">
      <w:pPr>
        <w:jc w:val="center"/>
        <w:rPr>
          <w:rFonts w:ascii="Times New Roman" w:hAnsi="Times New Roman" w:cs="Times New Roman"/>
          <w:b/>
        </w:rPr>
      </w:pPr>
      <w:r w:rsidRPr="00454E4F">
        <w:rPr>
          <w:rFonts w:ascii="Times New Roman" w:hAnsi="Times New Roman" w:cs="Times New Roman"/>
          <w:b/>
        </w:rPr>
        <w:t>Теоретические и экспериментальные исследования по оптимизации подкритических реакторов с ускорителем</w:t>
      </w:r>
      <w:r w:rsidR="009E689E" w:rsidRPr="00454E4F">
        <w:rPr>
          <w:rFonts w:ascii="Times New Roman" w:hAnsi="Times New Roman" w:cs="Times New Roman"/>
          <w:b/>
        </w:rPr>
        <w:t xml:space="preserve"> приводом</w:t>
      </w:r>
    </w:p>
    <w:p w14:paraId="3D80A004" w14:textId="0F11A1B0" w:rsidR="00472A30" w:rsidRPr="00454E4F" w:rsidRDefault="00472A30">
      <w:pPr>
        <w:rPr>
          <w:rFonts w:ascii="Times New Roman" w:hAnsi="Times New Roman" w:cs="Times New Roman"/>
          <w:lang w:val="en-US"/>
        </w:rPr>
      </w:pPr>
      <w:r w:rsidRPr="00454E4F">
        <w:rPr>
          <w:rFonts w:ascii="Times New Roman" w:hAnsi="Times New Roman" w:cs="Times New Roman"/>
        </w:rPr>
        <w:t>Разработан новый подход к созданию ускорительных подкритических реакторов (</w:t>
      </w:r>
      <w:r w:rsidRPr="00454E4F">
        <w:rPr>
          <w:rFonts w:ascii="Times New Roman" w:hAnsi="Times New Roman" w:cs="Times New Roman"/>
          <w:lang w:val="en-US"/>
        </w:rPr>
        <w:t>ADSR</w:t>
      </w:r>
      <w:r w:rsidRPr="00454E4F">
        <w:rPr>
          <w:rFonts w:ascii="Times New Roman" w:hAnsi="Times New Roman" w:cs="Times New Roman"/>
        </w:rPr>
        <w:t>), ориентированный на их использование в качестве эффективного источника энергии</w:t>
      </w:r>
      <w:r w:rsidR="008D4561">
        <w:rPr>
          <w:rFonts w:ascii="Times New Roman" w:hAnsi="Times New Roman" w:cs="Times New Roman"/>
          <w:lang w:val="en-US"/>
        </w:rPr>
        <w:t xml:space="preserve"> [1,2]</w:t>
      </w:r>
      <w:r w:rsidRPr="00454E4F">
        <w:rPr>
          <w:rFonts w:ascii="Times New Roman" w:hAnsi="Times New Roman" w:cs="Times New Roman"/>
        </w:rPr>
        <w:t xml:space="preserve">. Активные зоны больших размеров позволяют получить необходимое значение эффективного коэффициента размножения </w:t>
      </w:r>
      <w:r w:rsidRPr="00454E4F">
        <w:rPr>
          <w:rFonts w:ascii="Times New Roman" w:hAnsi="Times New Roman" w:cs="Times New Roman"/>
          <w:lang w:val="en-US"/>
        </w:rPr>
        <w:t>k</w:t>
      </w:r>
      <w:r w:rsidRPr="00454E4F">
        <w:rPr>
          <w:rFonts w:ascii="Times New Roman" w:hAnsi="Times New Roman" w:cs="Times New Roman"/>
          <w:vertAlign w:val="subscript"/>
          <w:lang w:val="en-US"/>
        </w:rPr>
        <w:t>eff</w:t>
      </w:r>
      <w:r w:rsidRPr="00454E4F">
        <w:rPr>
          <w:rFonts w:ascii="Times New Roman" w:hAnsi="Times New Roman" w:cs="Times New Roman"/>
        </w:rPr>
        <w:t xml:space="preserve"> при меньшем обогащении, что обеспечивает более длительный цикл и более глубокое сжигание актинидов (15-20%) в течение цикла. Поддержание рабочего значения </w:t>
      </w:r>
      <w:r w:rsidRPr="00454E4F">
        <w:rPr>
          <w:rFonts w:ascii="Times New Roman" w:hAnsi="Times New Roman" w:cs="Times New Roman"/>
          <w:lang w:val="en-US"/>
        </w:rPr>
        <w:t>k</w:t>
      </w:r>
      <w:r w:rsidRPr="00454E4F">
        <w:rPr>
          <w:rFonts w:ascii="Times New Roman" w:hAnsi="Times New Roman" w:cs="Times New Roman"/>
          <w:vertAlign w:val="subscript"/>
          <w:lang w:val="en-US"/>
        </w:rPr>
        <w:t>eff</w:t>
      </w:r>
      <w:r w:rsidRPr="00454E4F">
        <w:rPr>
          <w:rFonts w:ascii="Times New Roman" w:hAnsi="Times New Roman" w:cs="Times New Roman"/>
        </w:rPr>
        <w:t xml:space="preserve"> в диапазоне 0,985-0,988 с помощью регулирующих стержней обеспечивает безопасную эксплуатацию, предотвращает достижение критичности при незащищенных </w:t>
      </w:r>
      <w:r w:rsidRPr="00454E4F">
        <w:rPr>
          <w:rFonts w:ascii="Times New Roman" w:hAnsi="Times New Roman" w:cs="Times New Roman"/>
        </w:rPr>
        <w:lastRenderedPageBreak/>
        <w:t>переходных процессах или повреждении активной зоны и достаточно высоко для достижения прироста энергии более 15.</w:t>
      </w:r>
      <w:r w:rsidR="00F84384" w:rsidRPr="00454E4F">
        <w:rPr>
          <w:rFonts w:ascii="Times New Roman" w:hAnsi="Times New Roman" w:cs="Times New Roman"/>
        </w:rPr>
        <w:t xml:space="preserve"> Одно из наиболее интересных открытий касается возможности использования пучков легких ионов, таких как </w:t>
      </w:r>
      <w:r w:rsidR="00F84384" w:rsidRPr="00454E4F">
        <w:rPr>
          <w:rFonts w:ascii="Times New Roman" w:hAnsi="Times New Roman" w:cs="Times New Roman"/>
          <w:vertAlign w:val="superscript"/>
        </w:rPr>
        <w:t>7</w:t>
      </w:r>
      <w:r w:rsidR="00F84384" w:rsidRPr="00454E4F">
        <w:rPr>
          <w:rFonts w:ascii="Times New Roman" w:hAnsi="Times New Roman" w:cs="Times New Roman"/>
          <w:lang w:val="en-US"/>
        </w:rPr>
        <w:t>Li</w:t>
      </w:r>
      <w:r w:rsidR="00F84384" w:rsidRPr="00454E4F">
        <w:rPr>
          <w:rFonts w:ascii="Times New Roman" w:hAnsi="Times New Roman" w:cs="Times New Roman"/>
        </w:rPr>
        <w:t xml:space="preserve"> или </w:t>
      </w:r>
      <w:r w:rsidR="00F84384" w:rsidRPr="00454E4F">
        <w:rPr>
          <w:rFonts w:ascii="Times New Roman" w:hAnsi="Times New Roman" w:cs="Times New Roman"/>
          <w:vertAlign w:val="superscript"/>
        </w:rPr>
        <w:t>9</w:t>
      </w:r>
      <w:r w:rsidR="00F84384" w:rsidRPr="00454E4F">
        <w:rPr>
          <w:rFonts w:ascii="Times New Roman" w:hAnsi="Times New Roman" w:cs="Times New Roman"/>
          <w:lang w:val="en-US"/>
        </w:rPr>
        <w:t>Be</w:t>
      </w:r>
      <w:r w:rsidR="00F84384" w:rsidRPr="00454E4F">
        <w:rPr>
          <w:rFonts w:ascii="Times New Roman" w:hAnsi="Times New Roman" w:cs="Times New Roman"/>
        </w:rPr>
        <w:t>, с энергией 0,25–0,3 ГэВ/н вместо протонов с энергией 1–1,5 ГэВ.</w:t>
      </w:r>
    </w:p>
    <w:p w14:paraId="0A87849C" w14:textId="77777777" w:rsidR="00F84384" w:rsidRDefault="00F84384">
      <w:pPr>
        <w:rPr>
          <w:rFonts w:ascii="Times New Roman" w:hAnsi="Times New Roman" w:cs="Times New Roman"/>
          <w:lang w:val="en-US"/>
        </w:rPr>
      </w:pPr>
      <w:r w:rsidRPr="00454E4F">
        <w:rPr>
          <w:rFonts w:ascii="Times New Roman" w:hAnsi="Times New Roman" w:cs="Times New Roman"/>
        </w:rPr>
        <w:t>Анализ возможных экспериментов, направленных на сравнение энергетической эффективности различных пучков, показал, что наиболее надежные результаты получаются при измерении распределения</w:t>
      </w:r>
      <w:r w:rsidR="009E689E" w:rsidRPr="00454E4F">
        <w:rPr>
          <w:rFonts w:ascii="Times New Roman" w:hAnsi="Times New Roman" w:cs="Times New Roman"/>
        </w:rPr>
        <w:t xml:space="preserve"> число делении</w:t>
      </w:r>
      <w:r w:rsidRPr="00454E4F">
        <w:rPr>
          <w:rFonts w:ascii="Times New Roman" w:hAnsi="Times New Roman" w:cs="Times New Roman"/>
        </w:rPr>
        <w:t xml:space="preserve"> внутри большой мишени. Представлена ​​подходящая свинцовая мишень </w:t>
      </w:r>
      <w:r w:rsidRPr="00454E4F">
        <w:rPr>
          <w:rFonts w:ascii="Times New Roman" w:hAnsi="Times New Roman" w:cs="Times New Roman"/>
          <w:lang w:val="en-US"/>
        </w:rPr>
        <w:t>LETASUR</w:t>
      </w:r>
      <w:r w:rsidRPr="00454E4F">
        <w:rPr>
          <w:rFonts w:ascii="Times New Roman" w:hAnsi="Times New Roman" w:cs="Times New Roman"/>
        </w:rPr>
        <w:t xml:space="preserve">. </w:t>
      </w:r>
      <w:r w:rsidR="009E689E" w:rsidRPr="00454E4F">
        <w:rPr>
          <w:rFonts w:ascii="Times New Roman" w:eastAsia="Times New Roman" w:hAnsi="Times New Roman" w:cs="Times New Roman"/>
        </w:rPr>
        <w:t>Расчеты по радиационной безопасности</w:t>
      </w:r>
      <w:r w:rsidR="009E689E" w:rsidRPr="00454E4F">
        <w:rPr>
          <w:rFonts w:ascii="Times New Roman" w:hAnsi="Times New Roman" w:cs="Times New Roman"/>
        </w:rPr>
        <w:t xml:space="preserve"> </w:t>
      </w:r>
      <w:r w:rsidRPr="00454E4F">
        <w:rPr>
          <w:rFonts w:ascii="Times New Roman" w:hAnsi="Times New Roman" w:cs="Times New Roman"/>
        </w:rPr>
        <w:t>по</w:t>
      </w:r>
      <w:r w:rsidR="009E689E" w:rsidRPr="00454E4F">
        <w:rPr>
          <w:rFonts w:ascii="Times New Roman" w:hAnsi="Times New Roman" w:cs="Times New Roman"/>
        </w:rPr>
        <w:t>казываю</w:t>
      </w:r>
      <w:r w:rsidRPr="00454E4F">
        <w:rPr>
          <w:rFonts w:ascii="Times New Roman" w:hAnsi="Times New Roman" w:cs="Times New Roman"/>
        </w:rPr>
        <w:t xml:space="preserve">т, что конструкция экранирования экспериментальной комнаты </w:t>
      </w:r>
      <w:r w:rsidRPr="00454E4F">
        <w:rPr>
          <w:rFonts w:ascii="Times New Roman" w:hAnsi="Times New Roman" w:cs="Times New Roman"/>
          <w:lang w:val="en-US"/>
        </w:rPr>
        <w:t>SHINE</w:t>
      </w:r>
      <w:r w:rsidRPr="00454E4F">
        <w:rPr>
          <w:rFonts w:ascii="Times New Roman" w:hAnsi="Times New Roman" w:cs="Times New Roman"/>
        </w:rPr>
        <w:t xml:space="preserve"> позволяет безопасно использовать интенсивность пучка 10</w:t>
      </w:r>
      <w:r w:rsidRPr="00454E4F">
        <w:rPr>
          <w:rFonts w:ascii="Times New Roman" w:hAnsi="Times New Roman" w:cs="Times New Roman"/>
          <w:vertAlign w:val="superscript"/>
        </w:rPr>
        <w:t>9</w:t>
      </w:r>
      <w:r w:rsidR="00267442" w:rsidRPr="00454E4F">
        <w:rPr>
          <w:rFonts w:ascii="Times New Roman" w:hAnsi="Times New Roman" w:cs="Times New Roman"/>
        </w:rPr>
        <w:t xml:space="preserve"> ч/</w:t>
      </w:r>
      <w:r w:rsidRPr="00454E4F">
        <w:rPr>
          <w:rFonts w:ascii="Times New Roman" w:hAnsi="Times New Roman" w:cs="Times New Roman"/>
        </w:rPr>
        <w:t>с. Представлены планы дальнейших исследований.</w:t>
      </w:r>
    </w:p>
    <w:p w14:paraId="14BDC89F" w14:textId="1D292C0D" w:rsidR="008D4561" w:rsidRDefault="008D4561">
      <w:pPr>
        <w:rPr>
          <w:rFonts w:ascii="Times New Roman" w:hAnsi="Times New Roman" w:cs="Times New Roman"/>
          <w:lang w:val="en-US"/>
        </w:rPr>
      </w:pPr>
      <w:r w:rsidRPr="008D4561">
        <w:rPr>
          <w:rFonts w:ascii="Times New Roman" w:hAnsi="Times New Roman" w:cs="Times New Roman"/>
          <w:lang w:val="en-US"/>
        </w:rPr>
        <w:t>Литература</w:t>
      </w:r>
    </w:p>
    <w:p w14:paraId="43FDCAF0" w14:textId="77777777" w:rsidR="008D4561" w:rsidRPr="00454E4F" w:rsidRDefault="008D4561" w:rsidP="008D456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Pr="00454E4F">
        <w:rPr>
          <w:rFonts w:ascii="Times New Roman" w:hAnsi="Times New Roman" w:cs="Times New Roman"/>
          <w:lang w:val="en-US"/>
        </w:rPr>
        <w:t xml:space="preserve">. Paraipan, M., Javadova, V. M., &amp; Tyutyunnikov, S. I. (2023). Influence of Particle Beam and Accelerator Type on ADS Efficiency. Nuclear Science and Engineering, 198(1), 109–120. </w:t>
      </w:r>
    </w:p>
    <w:p w14:paraId="7A5F35F2" w14:textId="77777777" w:rsidR="008D4561" w:rsidRPr="00454E4F" w:rsidRDefault="008D4561" w:rsidP="008D456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Pr="00454E4F">
        <w:rPr>
          <w:rFonts w:ascii="Times New Roman" w:hAnsi="Times New Roman" w:cs="Times New Roman"/>
          <w:lang w:val="en-US"/>
        </w:rPr>
        <w:t>. Paraipan, M.M., Kryachko, I.A., Javadova, V.M. et al. Main Results of Neutronical Study about ADS with Ion Beams and Implications on Experiments Planning. Phys. Part. Nuclei Lett. 19, 129–144 (2022)</w:t>
      </w:r>
    </w:p>
    <w:p w14:paraId="04F19C17" w14:textId="77777777" w:rsidR="008D4561" w:rsidRPr="008D4561" w:rsidRDefault="008D4561">
      <w:pPr>
        <w:rPr>
          <w:rFonts w:ascii="Times New Roman" w:hAnsi="Times New Roman" w:cs="Times New Roman"/>
          <w:lang w:val="en-US"/>
        </w:rPr>
      </w:pPr>
    </w:p>
    <w:p w14:paraId="0BF70F45" w14:textId="77777777" w:rsidR="00472A30" w:rsidRPr="00454E4F" w:rsidRDefault="00472A30">
      <w:pPr>
        <w:rPr>
          <w:rFonts w:ascii="Times New Roman" w:hAnsi="Times New Roman" w:cs="Times New Roman"/>
        </w:rPr>
      </w:pPr>
    </w:p>
    <w:sectPr w:rsidR="00472A30" w:rsidRPr="00454E4F" w:rsidSect="00FC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A36"/>
    <w:rsid w:val="00267442"/>
    <w:rsid w:val="00373709"/>
    <w:rsid w:val="00454E4F"/>
    <w:rsid w:val="00472A30"/>
    <w:rsid w:val="004D0B65"/>
    <w:rsid w:val="00584B88"/>
    <w:rsid w:val="005C3C7D"/>
    <w:rsid w:val="00652E12"/>
    <w:rsid w:val="007C16CA"/>
    <w:rsid w:val="00885CF5"/>
    <w:rsid w:val="008D4561"/>
    <w:rsid w:val="009E689E"/>
    <w:rsid w:val="00A12566"/>
    <w:rsid w:val="00C07C85"/>
    <w:rsid w:val="00C202F3"/>
    <w:rsid w:val="00C3244A"/>
    <w:rsid w:val="00C86A36"/>
    <w:rsid w:val="00D03E02"/>
    <w:rsid w:val="00D64834"/>
    <w:rsid w:val="00F84384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2BC6"/>
  <w15:docId w15:val="{33EB79DB-A183-485F-98CD-0F1297A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4E4F"/>
    <w:pPr>
      <w:suppressAutoHyphens/>
      <w:autoSpaceDN w:val="0"/>
      <w:spacing w:after="160" w:line="252" w:lineRule="auto"/>
    </w:pPr>
    <w:rPr>
      <w:rFonts w:ascii="Calibri" w:eastAsia="Calibri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Neo Tsi</cp:lastModifiedBy>
  <cp:revision>12</cp:revision>
  <dcterms:created xsi:type="dcterms:W3CDTF">2026-03-23T07:34:00Z</dcterms:created>
  <dcterms:modified xsi:type="dcterms:W3CDTF">2026-06-03T20:11:00Z</dcterms:modified>
</cp:coreProperties>
</file>