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61D227EB" w14:textId="4A337875" w:rsidR="00111BF1" w:rsidRPr="00896584" w:rsidRDefault="008D42F5" w:rsidP="00896584">
      <w:pPr>
        <w:pStyle w:val="p1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8D42F5">
        <w:rPr>
          <w:rFonts w:ascii="Times New Roman" w:hAnsi="Times New Roman"/>
          <w:b/>
          <w:bCs/>
          <w:sz w:val="24"/>
          <w:szCs w:val="24"/>
          <w:vertAlign w:val="superscript"/>
          <w:lang w:val="en-US"/>
        </w:rPr>
        <w:t>237</w:t>
      </w:r>
      <w:r w:rsidRPr="008D42F5">
        <w:rPr>
          <w:rFonts w:ascii="Times New Roman" w:hAnsi="Times New Roman"/>
          <w:b/>
          <w:bCs/>
          <w:sz w:val="24"/>
          <w:szCs w:val="24"/>
          <w:lang w:val="en-US"/>
        </w:rPr>
        <w:t>Np+</w:t>
      </w:r>
      <w:r w:rsidRPr="008D42F5">
        <w:rPr>
          <w:rFonts w:ascii="Times New Roman" w:hAnsi="Times New Roman"/>
          <w:b/>
          <w:bCs/>
          <w:sz w:val="24"/>
          <w:szCs w:val="24"/>
          <w:vertAlign w:val="superscript"/>
          <w:lang w:val="en-US"/>
        </w:rPr>
        <w:t>48</w:t>
      </w:r>
      <w:r w:rsidRPr="008D42F5">
        <w:rPr>
          <w:rFonts w:ascii="Times New Roman" w:hAnsi="Times New Roman"/>
          <w:b/>
          <w:bCs/>
          <w:sz w:val="24"/>
          <w:szCs w:val="24"/>
          <w:lang w:val="en-US"/>
        </w:rPr>
        <w:t xml:space="preserve">Ca </w:t>
      </w:r>
      <w:r w:rsidR="00D6461B" w:rsidRPr="008D42F5">
        <w:rPr>
          <w:rFonts w:ascii="Times New Roman" w:hAnsi="Times New Roman"/>
          <w:b/>
          <w:bCs/>
          <w:sz w:val="24"/>
          <w:szCs w:val="24"/>
          <w:lang w:val="en-US"/>
        </w:rPr>
        <w:t xml:space="preserve">REACTION AND DECAY PROPERTIES OF </w:t>
      </w:r>
      <w:r w:rsidRPr="008D42F5">
        <w:rPr>
          <w:rFonts w:ascii="Times New Roman" w:hAnsi="Times New Roman"/>
          <w:b/>
          <w:bCs/>
          <w:sz w:val="24"/>
          <w:szCs w:val="24"/>
          <w:vertAlign w:val="superscript"/>
          <w:lang w:val="en-US"/>
        </w:rPr>
        <w:t>282</w:t>
      </w:r>
      <w:r w:rsidRPr="008D42F5">
        <w:rPr>
          <w:rFonts w:ascii="Times New Roman" w:hAnsi="Times New Roman"/>
          <w:b/>
          <w:bCs/>
          <w:sz w:val="24"/>
          <w:szCs w:val="24"/>
          <w:lang w:val="en-US"/>
        </w:rPr>
        <w:t xml:space="preserve">Nh </w:t>
      </w:r>
      <w:r w:rsidR="00D6461B" w:rsidRPr="008D42F5">
        <w:rPr>
          <w:rFonts w:ascii="Times New Roman" w:hAnsi="Times New Roman"/>
          <w:b/>
          <w:bCs/>
          <w:sz w:val="24"/>
          <w:szCs w:val="24"/>
          <w:lang w:val="en-US"/>
        </w:rPr>
        <w:t xml:space="preserve">AND DESCENDANT </w:t>
      </w:r>
      <w:r w:rsidR="005639D8">
        <w:rPr>
          <w:rFonts w:ascii="Times New Roman" w:hAnsi="Times New Roman"/>
          <w:b/>
          <w:bCs/>
          <w:sz w:val="24"/>
          <w:szCs w:val="24"/>
          <w:lang w:val="en-US"/>
        </w:rPr>
        <w:br/>
      </w:r>
      <w:r w:rsidR="00D6461B" w:rsidRPr="008D42F5">
        <w:rPr>
          <w:rFonts w:ascii="Times New Roman" w:hAnsi="Times New Roman"/>
          <w:b/>
          <w:bCs/>
          <w:sz w:val="24"/>
          <w:szCs w:val="24"/>
          <w:lang w:val="en-US"/>
        </w:rPr>
        <w:t xml:space="preserve">NUCLEI AT </w:t>
      </w:r>
      <w:r w:rsidRPr="008D42F5">
        <w:rPr>
          <w:rFonts w:ascii="Times New Roman" w:hAnsi="Times New Roman"/>
          <w:b/>
          <w:bCs/>
          <w:sz w:val="24"/>
          <w:szCs w:val="24"/>
          <w:lang w:val="en-US"/>
        </w:rPr>
        <w:t>DGFRS‑2</w:t>
      </w:r>
    </w:p>
    <w:p w14:paraId="0CBBB725" w14:textId="2C04B66B" w:rsidR="00EB2664" w:rsidRPr="00896584" w:rsidRDefault="00EB2664" w:rsidP="00FA7EDF">
      <w:pPr>
        <w:widowControl w:val="0"/>
        <w:jc w:val="center"/>
        <w:rPr>
          <w:b/>
          <w:bCs/>
          <w:lang w:val="en-US"/>
        </w:rPr>
      </w:pPr>
    </w:p>
    <w:p w14:paraId="3DFB009B" w14:textId="430D6EE1" w:rsidR="008D42F5" w:rsidRPr="008D42F5" w:rsidRDefault="008D42F5" w:rsidP="008D42F5">
      <w:pPr>
        <w:widowControl w:val="0"/>
        <w:jc w:val="center"/>
        <w:rPr>
          <w:b/>
          <w:bCs/>
          <w:lang w:val="en-US"/>
        </w:rPr>
      </w:pPr>
      <w:r w:rsidRPr="008D42F5">
        <w:rPr>
          <w:b/>
          <w:bCs/>
          <w:lang w:val="en-US"/>
        </w:rPr>
        <w:t>E. C. Karanfil</w:t>
      </w:r>
      <w:r w:rsidRPr="008D42F5">
        <w:rPr>
          <w:b/>
          <w:bCs/>
          <w:vertAlign w:val="superscript"/>
          <w:lang w:val="en-US"/>
        </w:rPr>
        <w:t> 1</w:t>
      </w:r>
      <w:r>
        <w:rPr>
          <w:b/>
          <w:bCs/>
          <w:lang w:val="en-US"/>
        </w:rPr>
        <w:t>, Y</w:t>
      </w:r>
      <w:r w:rsidRPr="008D42F5">
        <w:rPr>
          <w:b/>
          <w:bCs/>
          <w:lang w:val="en-US"/>
        </w:rPr>
        <w:t xml:space="preserve">u. Ts. </w:t>
      </w:r>
      <w:proofErr w:type="spellStart"/>
      <w:r w:rsidRPr="008D42F5">
        <w:rPr>
          <w:b/>
          <w:bCs/>
          <w:lang w:val="en-US"/>
        </w:rPr>
        <w:t>Oganessian</w:t>
      </w:r>
      <w:proofErr w:type="spellEnd"/>
      <w:r w:rsidRPr="008D42F5">
        <w:rPr>
          <w:b/>
          <w:bCs/>
          <w:vertAlign w:val="superscript"/>
          <w:lang w:val="en-US"/>
        </w:rPr>
        <w:t> 1</w:t>
      </w:r>
      <w:r w:rsidRPr="008D42F5">
        <w:rPr>
          <w:b/>
          <w:bCs/>
          <w:lang w:val="en-US"/>
        </w:rPr>
        <w:t xml:space="preserve">, V. K. </w:t>
      </w:r>
      <w:proofErr w:type="spellStart"/>
      <w:r w:rsidRPr="008D42F5">
        <w:rPr>
          <w:b/>
          <w:bCs/>
          <w:lang w:val="en-US"/>
        </w:rPr>
        <w:t>Utyonkov</w:t>
      </w:r>
      <w:proofErr w:type="spellEnd"/>
      <w:r w:rsidRPr="008D42F5">
        <w:rPr>
          <w:b/>
          <w:bCs/>
          <w:vertAlign w:val="superscript"/>
          <w:lang w:val="en-US"/>
        </w:rPr>
        <w:t> 1</w:t>
      </w:r>
      <w:r w:rsidRPr="008D42F5">
        <w:rPr>
          <w:b/>
          <w:bCs/>
          <w:lang w:val="en-US"/>
        </w:rPr>
        <w:t xml:space="preserve">, D. I. </w:t>
      </w:r>
      <w:proofErr w:type="spellStart"/>
      <w:r w:rsidRPr="008D42F5">
        <w:rPr>
          <w:b/>
          <w:bCs/>
          <w:lang w:val="en-US"/>
        </w:rPr>
        <w:t>Solovyev</w:t>
      </w:r>
      <w:proofErr w:type="spellEnd"/>
      <w:r w:rsidRPr="008D42F5">
        <w:rPr>
          <w:b/>
          <w:bCs/>
          <w:vertAlign w:val="superscript"/>
          <w:lang w:val="en-US"/>
        </w:rPr>
        <w:t> 1</w:t>
      </w:r>
      <w:r w:rsidRPr="008D42F5">
        <w:rPr>
          <w:b/>
          <w:bCs/>
          <w:lang w:val="en-US"/>
        </w:rPr>
        <w:t xml:space="preserve">, F. Sh. </w:t>
      </w:r>
      <w:proofErr w:type="spellStart"/>
      <w:r w:rsidRPr="008D42F5">
        <w:rPr>
          <w:b/>
          <w:bCs/>
          <w:lang w:val="en-US"/>
        </w:rPr>
        <w:t>Abdullin</w:t>
      </w:r>
      <w:proofErr w:type="spellEnd"/>
      <w:r w:rsidRPr="008D42F5">
        <w:rPr>
          <w:b/>
          <w:bCs/>
          <w:vertAlign w:val="superscript"/>
          <w:lang w:val="en-US"/>
        </w:rPr>
        <w:t> 1</w:t>
      </w:r>
      <w:r w:rsidRPr="008D42F5">
        <w:rPr>
          <w:b/>
          <w:bCs/>
          <w:lang w:val="en-US"/>
        </w:rPr>
        <w:t xml:space="preserve">, G. G. </w:t>
      </w:r>
      <w:proofErr w:type="spellStart"/>
      <w:r w:rsidRPr="008D42F5">
        <w:rPr>
          <w:b/>
          <w:bCs/>
          <w:lang w:val="en-US"/>
        </w:rPr>
        <w:t>Adamian</w:t>
      </w:r>
      <w:proofErr w:type="spellEnd"/>
      <w:r w:rsidRPr="008D42F5">
        <w:rPr>
          <w:b/>
          <w:bCs/>
          <w:vertAlign w:val="superscript"/>
          <w:lang w:val="en-US"/>
        </w:rPr>
        <w:t> 1</w:t>
      </w:r>
      <w:r w:rsidRPr="008D42F5">
        <w:rPr>
          <w:b/>
          <w:bCs/>
          <w:lang w:val="en-US"/>
        </w:rPr>
        <w:t xml:space="preserve">, D. </w:t>
      </w:r>
      <w:proofErr w:type="spellStart"/>
      <w:r w:rsidRPr="008D42F5">
        <w:rPr>
          <w:b/>
          <w:bCs/>
          <w:lang w:val="en-US"/>
        </w:rPr>
        <w:t>Ibadullayev</w:t>
      </w:r>
      <w:proofErr w:type="spellEnd"/>
      <w:r w:rsidRPr="008D42F5">
        <w:rPr>
          <w:b/>
          <w:bCs/>
          <w:vertAlign w:val="superscript"/>
          <w:lang w:val="en-US"/>
        </w:rPr>
        <w:t> 1,2</w:t>
      </w:r>
      <w:r w:rsidRPr="008D42F5">
        <w:rPr>
          <w:b/>
          <w:bCs/>
          <w:lang w:val="en-US"/>
        </w:rPr>
        <w:t xml:space="preserve">, M. G. </w:t>
      </w:r>
      <w:proofErr w:type="spellStart"/>
      <w:r w:rsidRPr="008D42F5">
        <w:rPr>
          <w:b/>
          <w:bCs/>
          <w:lang w:val="en-US"/>
        </w:rPr>
        <w:t>Itkis</w:t>
      </w:r>
      <w:proofErr w:type="spellEnd"/>
      <w:r w:rsidRPr="008D42F5">
        <w:rPr>
          <w:b/>
          <w:bCs/>
          <w:vertAlign w:val="superscript"/>
          <w:lang w:val="en-US"/>
        </w:rPr>
        <w:t> 1</w:t>
      </w:r>
      <w:r w:rsidRPr="008D42F5">
        <w:rPr>
          <w:b/>
          <w:bCs/>
          <w:lang w:val="en-US"/>
        </w:rPr>
        <w:t xml:space="preserve">, N. D. </w:t>
      </w:r>
      <w:proofErr w:type="spellStart"/>
      <w:r w:rsidRPr="008D42F5">
        <w:rPr>
          <w:b/>
          <w:bCs/>
          <w:lang w:val="en-US"/>
        </w:rPr>
        <w:t>Kovrizhnykh</w:t>
      </w:r>
      <w:proofErr w:type="spellEnd"/>
      <w:r w:rsidRPr="008D42F5">
        <w:rPr>
          <w:b/>
          <w:bCs/>
          <w:vertAlign w:val="superscript"/>
          <w:lang w:val="en-US"/>
        </w:rPr>
        <w:t> 1</w:t>
      </w:r>
      <w:r w:rsidRPr="008D42F5">
        <w:rPr>
          <w:b/>
          <w:bCs/>
          <w:lang w:val="en-US"/>
        </w:rPr>
        <w:t xml:space="preserve">, D. A. </w:t>
      </w:r>
      <w:proofErr w:type="spellStart"/>
      <w:r w:rsidRPr="008D42F5">
        <w:rPr>
          <w:b/>
          <w:bCs/>
          <w:lang w:val="en-US"/>
        </w:rPr>
        <w:t>Kuznetsov</w:t>
      </w:r>
      <w:proofErr w:type="spellEnd"/>
      <w:r w:rsidRPr="008D42F5">
        <w:rPr>
          <w:b/>
          <w:bCs/>
          <w:vertAlign w:val="superscript"/>
          <w:lang w:val="en-US"/>
        </w:rPr>
        <w:t> 1</w:t>
      </w:r>
      <w:r w:rsidRPr="008D42F5">
        <w:rPr>
          <w:b/>
          <w:bCs/>
          <w:lang w:val="en-US"/>
        </w:rPr>
        <w:t xml:space="preserve">, O. V. </w:t>
      </w:r>
      <w:proofErr w:type="spellStart"/>
      <w:r w:rsidRPr="008D42F5">
        <w:rPr>
          <w:b/>
          <w:bCs/>
          <w:lang w:val="en-US"/>
        </w:rPr>
        <w:t>Petrushkin</w:t>
      </w:r>
      <w:proofErr w:type="spellEnd"/>
      <w:r w:rsidRPr="008D42F5">
        <w:rPr>
          <w:b/>
          <w:bCs/>
          <w:vertAlign w:val="superscript"/>
          <w:lang w:val="en-US"/>
        </w:rPr>
        <w:t> 1</w:t>
      </w:r>
      <w:r w:rsidRPr="008D42F5">
        <w:rPr>
          <w:b/>
          <w:bCs/>
          <w:lang w:val="en-US"/>
        </w:rPr>
        <w:t xml:space="preserve">, A. V. </w:t>
      </w:r>
      <w:proofErr w:type="spellStart"/>
      <w:r w:rsidRPr="008D42F5">
        <w:rPr>
          <w:b/>
          <w:bCs/>
          <w:lang w:val="en-US"/>
        </w:rPr>
        <w:t>Podshibiakin</w:t>
      </w:r>
      <w:proofErr w:type="spellEnd"/>
      <w:r w:rsidRPr="008D42F5">
        <w:rPr>
          <w:b/>
          <w:bCs/>
          <w:vertAlign w:val="superscript"/>
          <w:lang w:val="en-US"/>
        </w:rPr>
        <w:t> 1</w:t>
      </w:r>
      <w:r w:rsidRPr="008D42F5">
        <w:rPr>
          <w:b/>
          <w:bCs/>
          <w:lang w:val="en-US"/>
        </w:rPr>
        <w:t>, A. N. Polyakov</w:t>
      </w:r>
      <w:r w:rsidRPr="008D42F5">
        <w:rPr>
          <w:b/>
          <w:bCs/>
          <w:vertAlign w:val="superscript"/>
          <w:lang w:val="en-US"/>
        </w:rPr>
        <w:t> 1</w:t>
      </w:r>
      <w:r w:rsidRPr="008D42F5">
        <w:rPr>
          <w:b/>
          <w:bCs/>
          <w:lang w:val="en-US"/>
        </w:rPr>
        <w:t xml:space="preserve">, A. G. </w:t>
      </w:r>
      <w:proofErr w:type="spellStart"/>
      <w:r w:rsidRPr="008D42F5">
        <w:rPr>
          <w:b/>
          <w:bCs/>
          <w:lang w:val="en-US"/>
        </w:rPr>
        <w:t>Popeko</w:t>
      </w:r>
      <w:proofErr w:type="spellEnd"/>
      <w:r w:rsidRPr="008D42F5">
        <w:rPr>
          <w:b/>
          <w:bCs/>
          <w:vertAlign w:val="superscript"/>
          <w:lang w:val="en-US"/>
        </w:rPr>
        <w:t> 1</w:t>
      </w:r>
      <w:r w:rsidRPr="008D42F5">
        <w:rPr>
          <w:b/>
          <w:bCs/>
          <w:lang w:val="en-US"/>
        </w:rPr>
        <w:t xml:space="preserve">, I. S. </w:t>
      </w:r>
      <w:proofErr w:type="spellStart"/>
      <w:r w:rsidRPr="008D42F5">
        <w:rPr>
          <w:b/>
          <w:bCs/>
          <w:lang w:val="en-US"/>
        </w:rPr>
        <w:t>Rogov</w:t>
      </w:r>
      <w:proofErr w:type="spellEnd"/>
      <w:r w:rsidRPr="008D42F5">
        <w:rPr>
          <w:b/>
          <w:bCs/>
          <w:vertAlign w:val="superscript"/>
          <w:lang w:val="en-US"/>
        </w:rPr>
        <w:t> 1</w:t>
      </w:r>
      <w:r w:rsidRPr="008D42F5">
        <w:rPr>
          <w:b/>
          <w:bCs/>
          <w:lang w:val="en-US"/>
        </w:rPr>
        <w:t xml:space="preserve">, R. N. </w:t>
      </w:r>
      <w:proofErr w:type="spellStart"/>
      <w:r w:rsidRPr="008D42F5">
        <w:rPr>
          <w:b/>
          <w:bCs/>
          <w:lang w:val="en-US"/>
        </w:rPr>
        <w:t>Sagaidak</w:t>
      </w:r>
      <w:proofErr w:type="spellEnd"/>
      <w:r w:rsidRPr="008D42F5">
        <w:rPr>
          <w:b/>
          <w:bCs/>
          <w:vertAlign w:val="superscript"/>
          <w:lang w:val="en-US"/>
        </w:rPr>
        <w:t> 1</w:t>
      </w:r>
      <w:r w:rsidRPr="008D42F5">
        <w:rPr>
          <w:b/>
          <w:bCs/>
          <w:lang w:val="en-US"/>
        </w:rPr>
        <w:t xml:space="preserve">, L. </w:t>
      </w:r>
      <w:proofErr w:type="spellStart"/>
      <w:r w:rsidRPr="008D42F5">
        <w:rPr>
          <w:b/>
          <w:bCs/>
          <w:lang w:val="en-US"/>
        </w:rPr>
        <w:t>Schlattauer</w:t>
      </w:r>
      <w:proofErr w:type="spellEnd"/>
      <w:r w:rsidRPr="008D42F5">
        <w:rPr>
          <w:b/>
          <w:bCs/>
          <w:vertAlign w:val="superscript"/>
          <w:lang w:val="en-US"/>
        </w:rPr>
        <w:t> 1,3</w:t>
      </w:r>
      <w:r w:rsidRPr="008D42F5">
        <w:rPr>
          <w:b/>
          <w:bCs/>
          <w:lang w:val="en-US"/>
        </w:rPr>
        <w:t>, V. D. Shubin</w:t>
      </w:r>
      <w:r w:rsidRPr="008D42F5">
        <w:rPr>
          <w:b/>
          <w:bCs/>
          <w:vertAlign w:val="superscript"/>
          <w:lang w:val="en-US"/>
        </w:rPr>
        <w:t> 1</w:t>
      </w:r>
      <w:r w:rsidRPr="008D42F5">
        <w:rPr>
          <w:b/>
          <w:bCs/>
          <w:lang w:val="en-US"/>
        </w:rPr>
        <w:t xml:space="preserve">, M. V. </w:t>
      </w:r>
      <w:proofErr w:type="spellStart"/>
      <w:r w:rsidRPr="008D42F5">
        <w:rPr>
          <w:b/>
          <w:bCs/>
          <w:lang w:val="en-US"/>
        </w:rPr>
        <w:t>Shumeiko</w:t>
      </w:r>
      <w:proofErr w:type="spellEnd"/>
      <w:r w:rsidRPr="008D42F5">
        <w:rPr>
          <w:b/>
          <w:bCs/>
          <w:vertAlign w:val="superscript"/>
          <w:lang w:val="en-US"/>
        </w:rPr>
        <w:t> 1</w:t>
      </w:r>
      <w:r w:rsidRPr="008D42F5">
        <w:rPr>
          <w:b/>
          <w:bCs/>
          <w:lang w:val="en-US"/>
        </w:rPr>
        <w:t xml:space="preserve">, Yu. S. </w:t>
      </w:r>
      <w:proofErr w:type="spellStart"/>
      <w:r w:rsidRPr="008D42F5">
        <w:rPr>
          <w:b/>
          <w:bCs/>
          <w:lang w:val="en-US"/>
        </w:rPr>
        <w:t>Tsyganov</w:t>
      </w:r>
      <w:proofErr w:type="spellEnd"/>
      <w:r w:rsidRPr="008D42F5">
        <w:rPr>
          <w:b/>
          <w:bCs/>
          <w:vertAlign w:val="superscript"/>
          <w:lang w:val="en-US"/>
        </w:rPr>
        <w:t> 1</w:t>
      </w:r>
      <w:r w:rsidRPr="008D42F5">
        <w:rPr>
          <w:b/>
          <w:bCs/>
          <w:lang w:val="en-US"/>
        </w:rPr>
        <w:t xml:space="preserve">, A. A. </w:t>
      </w:r>
      <w:proofErr w:type="spellStart"/>
      <w:r w:rsidRPr="008D42F5">
        <w:rPr>
          <w:b/>
          <w:bCs/>
          <w:lang w:val="en-US"/>
        </w:rPr>
        <w:t>Voinov</w:t>
      </w:r>
      <w:proofErr w:type="spellEnd"/>
      <w:r w:rsidRPr="008D42F5">
        <w:rPr>
          <w:b/>
          <w:bCs/>
          <w:vertAlign w:val="superscript"/>
          <w:lang w:val="en-US"/>
        </w:rPr>
        <w:t> 1</w:t>
      </w:r>
      <w:r w:rsidRPr="008D42F5">
        <w:rPr>
          <w:b/>
          <w:bCs/>
          <w:lang w:val="en-US"/>
        </w:rPr>
        <w:t xml:space="preserve">, A. V. </w:t>
      </w:r>
      <w:proofErr w:type="spellStart"/>
      <w:r w:rsidRPr="008D42F5">
        <w:rPr>
          <w:b/>
          <w:bCs/>
          <w:lang w:val="en-US"/>
        </w:rPr>
        <w:t>Sabelnikov</w:t>
      </w:r>
      <w:proofErr w:type="spellEnd"/>
      <w:r w:rsidRPr="008D42F5">
        <w:rPr>
          <w:b/>
          <w:bCs/>
          <w:vertAlign w:val="superscript"/>
          <w:lang w:val="en-US"/>
        </w:rPr>
        <w:t> 1</w:t>
      </w:r>
      <w:r w:rsidRPr="008D42F5">
        <w:rPr>
          <w:b/>
          <w:bCs/>
          <w:lang w:val="en-US"/>
        </w:rPr>
        <w:t xml:space="preserve">, D. </w:t>
      </w:r>
      <w:proofErr w:type="spellStart"/>
      <w:r w:rsidRPr="008D42F5">
        <w:rPr>
          <w:b/>
          <w:bCs/>
          <w:lang w:val="en-US"/>
        </w:rPr>
        <w:t>Abdusamadzoda</w:t>
      </w:r>
      <w:proofErr w:type="spellEnd"/>
      <w:r w:rsidRPr="008D42F5">
        <w:rPr>
          <w:b/>
          <w:bCs/>
          <w:vertAlign w:val="superscript"/>
          <w:lang w:val="en-US"/>
        </w:rPr>
        <w:t> 1</w:t>
      </w:r>
      <w:r w:rsidRPr="008D42F5">
        <w:rPr>
          <w:b/>
          <w:bCs/>
          <w:lang w:val="en-US"/>
        </w:rPr>
        <w:t xml:space="preserve">, A. Yu. </w:t>
      </w:r>
      <w:proofErr w:type="spellStart"/>
      <w:r w:rsidRPr="008D42F5">
        <w:rPr>
          <w:b/>
          <w:bCs/>
          <w:lang w:val="en-US"/>
        </w:rPr>
        <w:t>Bodrov</w:t>
      </w:r>
      <w:proofErr w:type="spellEnd"/>
      <w:r w:rsidRPr="008D42F5">
        <w:rPr>
          <w:b/>
          <w:bCs/>
          <w:vertAlign w:val="superscript"/>
          <w:lang w:val="en-US"/>
        </w:rPr>
        <w:t> 1</w:t>
      </w:r>
      <w:r w:rsidRPr="008D42F5">
        <w:rPr>
          <w:b/>
          <w:bCs/>
          <w:lang w:val="en-US"/>
        </w:rPr>
        <w:t xml:space="preserve">, M. G. </w:t>
      </w:r>
      <w:proofErr w:type="spellStart"/>
      <w:r w:rsidRPr="008D42F5">
        <w:rPr>
          <w:b/>
          <w:bCs/>
          <w:lang w:val="en-US"/>
        </w:rPr>
        <w:t>Voronyuk</w:t>
      </w:r>
      <w:proofErr w:type="spellEnd"/>
      <w:r w:rsidRPr="008D42F5">
        <w:rPr>
          <w:b/>
          <w:bCs/>
          <w:vertAlign w:val="superscript"/>
          <w:lang w:val="en-US"/>
        </w:rPr>
        <w:t> 1</w:t>
      </w:r>
      <w:r w:rsidRPr="008D42F5">
        <w:rPr>
          <w:b/>
          <w:bCs/>
          <w:lang w:val="en-US"/>
        </w:rPr>
        <w:t xml:space="preserve">, G. A. </w:t>
      </w:r>
      <w:proofErr w:type="spellStart"/>
      <w:r w:rsidRPr="008D42F5">
        <w:rPr>
          <w:b/>
          <w:bCs/>
          <w:lang w:val="en-US"/>
        </w:rPr>
        <w:t>Bozhikov</w:t>
      </w:r>
      <w:proofErr w:type="spellEnd"/>
      <w:r w:rsidRPr="008D42F5">
        <w:rPr>
          <w:b/>
          <w:bCs/>
          <w:vertAlign w:val="superscript"/>
          <w:lang w:val="en-US"/>
        </w:rPr>
        <w:t> 1</w:t>
      </w:r>
      <w:r w:rsidRPr="008D42F5">
        <w:rPr>
          <w:b/>
          <w:bCs/>
          <w:lang w:val="en-US"/>
        </w:rPr>
        <w:t xml:space="preserve">, N. V. </w:t>
      </w:r>
      <w:proofErr w:type="spellStart"/>
      <w:r w:rsidRPr="008D42F5">
        <w:rPr>
          <w:b/>
          <w:bCs/>
          <w:lang w:val="en-US"/>
        </w:rPr>
        <w:t>Aksenov</w:t>
      </w:r>
      <w:proofErr w:type="spellEnd"/>
      <w:r w:rsidRPr="008D42F5">
        <w:rPr>
          <w:b/>
          <w:bCs/>
          <w:vertAlign w:val="superscript"/>
          <w:lang w:val="en-US"/>
        </w:rPr>
        <w:t> 1</w:t>
      </w:r>
      <w:r w:rsidRPr="008D42F5">
        <w:rPr>
          <w:b/>
          <w:bCs/>
          <w:lang w:val="en-US"/>
        </w:rPr>
        <w:t xml:space="preserve">, A. V. </w:t>
      </w:r>
      <w:proofErr w:type="spellStart"/>
      <w:r w:rsidRPr="008D42F5">
        <w:rPr>
          <w:b/>
          <w:bCs/>
          <w:lang w:val="en-US"/>
        </w:rPr>
        <w:t>Khalkin</w:t>
      </w:r>
      <w:proofErr w:type="spellEnd"/>
      <w:r w:rsidRPr="008D42F5">
        <w:rPr>
          <w:b/>
          <w:bCs/>
          <w:vertAlign w:val="superscript"/>
          <w:lang w:val="en-US"/>
        </w:rPr>
        <w:t> 1</w:t>
      </w:r>
      <w:r w:rsidRPr="008D42F5">
        <w:rPr>
          <w:b/>
          <w:bCs/>
          <w:lang w:val="en-US"/>
        </w:rPr>
        <w:t>, Z. G. Gan</w:t>
      </w:r>
      <w:r w:rsidRPr="008D42F5">
        <w:rPr>
          <w:b/>
          <w:bCs/>
          <w:vertAlign w:val="superscript"/>
          <w:lang w:val="en-US"/>
        </w:rPr>
        <w:t> 4</w:t>
      </w:r>
      <w:r w:rsidRPr="008D42F5">
        <w:rPr>
          <w:b/>
          <w:bCs/>
          <w:lang w:val="en-US"/>
        </w:rPr>
        <w:t>, Z. Y. Zhang</w:t>
      </w:r>
      <w:r w:rsidRPr="008D42F5">
        <w:rPr>
          <w:b/>
          <w:bCs/>
          <w:vertAlign w:val="superscript"/>
          <w:lang w:val="en-US"/>
        </w:rPr>
        <w:t> 4</w:t>
      </w:r>
      <w:r w:rsidRPr="008D42F5">
        <w:rPr>
          <w:b/>
          <w:bCs/>
          <w:lang w:val="en-US"/>
        </w:rPr>
        <w:t>, M. H. Huang</w:t>
      </w:r>
      <w:r w:rsidRPr="008D42F5">
        <w:rPr>
          <w:b/>
          <w:bCs/>
          <w:vertAlign w:val="superscript"/>
          <w:lang w:val="en-US"/>
        </w:rPr>
        <w:t> 4</w:t>
      </w:r>
      <w:r w:rsidRPr="008D42F5">
        <w:rPr>
          <w:b/>
          <w:bCs/>
          <w:lang w:val="en-US"/>
        </w:rPr>
        <w:t>, H. B. Yang</w:t>
      </w:r>
      <w:r w:rsidRPr="008D42F5">
        <w:rPr>
          <w:b/>
          <w:bCs/>
          <w:vertAlign w:val="superscript"/>
          <w:lang w:val="en-US"/>
        </w:rPr>
        <w:t> 4</w:t>
      </w:r>
      <w:r w:rsidRPr="008D42F5">
        <w:rPr>
          <w:b/>
          <w:bCs/>
          <w:lang w:val="en-US"/>
        </w:rPr>
        <w:t>, J. G. Wang</w:t>
      </w:r>
      <w:r w:rsidRPr="008D42F5">
        <w:rPr>
          <w:b/>
          <w:bCs/>
          <w:vertAlign w:val="superscript"/>
          <w:lang w:val="en-US"/>
        </w:rPr>
        <w:t> 4</w:t>
      </w:r>
      <w:r w:rsidRPr="008D42F5">
        <w:rPr>
          <w:b/>
          <w:bCs/>
          <w:lang w:val="en-US"/>
        </w:rPr>
        <w:t>, M. M. Zhang</w:t>
      </w:r>
      <w:r w:rsidRPr="008D42F5">
        <w:rPr>
          <w:b/>
          <w:bCs/>
          <w:vertAlign w:val="superscript"/>
          <w:lang w:val="en-US"/>
        </w:rPr>
        <w:t> 1,4</w:t>
      </w:r>
      <w:r w:rsidRPr="008D42F5">
        <w:rPr>
          <w:b/>
          <w:bCs/>
          <w:lang w:val="en-US"/>
        </w:rPr>
        <w:t>, X. Y. Huang</w:t>
      </w:r>
      <w:r w:rsidRPr="008D42F5">
        <w:rPr>
          <w:b/>
          <w:bCs/>
          <w:vertAlign w:val="superscript"/>
          <w:lang w:val="en-US"/>
        </w:rPr>
        <w:t> 1,4,5</w:t>
      </w:r>
      <w:r w:rsidRPr="008D42F5">
        <w:rPr>
          <w:b/>
          <w:bCs/>
          <w:lang w:val="en-US"/>
        </w:rPr>
        <w:t xml:space="preserve"> </w:t>
      </w:r>
    </w:p>
    <w:p w14:paraId="4A87D1E5" w14:textId="3B530617" w:rsidR="00AC0C40" w:rsidRDefault="00AC0C40" w:rsidP="008D42F5">
      <w:pPr>
        <w:widowControl w:val="0"/>
        <w:rPr>
          <w:iCs/>
          <w:sz w:val="22"/>
          <w:szCs w:val="22"/>
          <w:lang w:val="en-US"/>
        </w:rPr>
      </w:pPr>
    </w:p>
    <w:p w14:paraId="246E5598" w14:textId="77777777" w:rsidR="008D42F5" w:rsidRPr="008D42F5" w:rsidRDefault="008D42F5" w:rsidP="008D42F5">
      <w:pPr>
        <w:widowControl w:val="0"/>
        <w:jc w:val="center"/>
        <w:rPr>
          <w:iCs/>
          <w:sz w:val="22"/>
          <w:szCs w:val="22"/>
          <w:lang w:val="en-US"/>
        </w:rPr>
      </w:pPr>
      <w:r w:rsidRPr="008D42F5">
        <w:rPr>
          <w:iCs/>
          <w:sz w:val="22"/>
          <w:szCs w:val="22"/>
          <w:vertAlign w:val="superscript"/>
          <w:lang w:val="en-US"/>
        </w:rPr>
        <w:t>1</w:t>
      </w:r>
      <w:r w:rsidRPr="008D42F5">
        <w:rPr>
          <w:iCs/>
          <w:sz w:val="22"/>
          <w:szCs w:val="22"/>
          <w:lang w:val="en-US"/>
        </w:rPr>
        <w:t xml:space="preserve">Joint Institute for Nuclear Research, RU-141980 </w:t>
      </w:r>
      <w:proofErr w:type="spellStart"/>
      <w:r w:rsidRPr="008D42F5">
        <w:rPr>
          <w:iCs/>
          <w:sz w:val="22"/>
          <w:szCs w:val="22"/>
          <w:lang w:val="en-US"/>
        </w:rPr>
        <w:t>Dubna</w:t>
      </w:r>
      <w:proofErr w:type="spellEnd"/>
      <w:r w:rsidRPr="008D42F5">
        <w:rPr>
          <w:iCs/>
          <w:sz w:val="22"/>
          <w:szCs w:val="22"/>
          <w:lang w:val="en-US"/>
        </w:rPr>
        <w:t>, R</w:t>
      </w:r>
      <w:bookmarkStart w:id="0" w:name="_GoBack"/>
      <w:bookmarkEnd w:id="0"/>
      <w:r w:rsidRPr="008D42F5">
        <w:rPr>
          <w:iCs/>
          <w:sz w:val="22"/>
          <w:szCs w:val="22"/>
          <w:lang w:val="en-US"/>
        </w:rPr>
        <w:t>ussian Federation</w:t>
      </w:r>
    </w:p>
    <w:p w14:paraId="37D65DF1" w14:textId="77777777" w:rsidR="008D42F5" w:rsidRPr="008D42F5" w:rsidRDefault="008D42F5" w:rsidP="008D42F5">
      <w:pPr>
        <w:widowControl w:val="0"/>
        <w:jc w:val="center"/>
        <w:rPr>
          <w:iCs/>
          <w:sz w:val="22"/>
          <w:szCs w:val="22"/>
          <w:lang w:val="en-US"/>
        </w:rPr>
      </w:pPr>
      <w:r w:rsidRPr="008D42F5">
        <w:rPr>
          <w:iCs/>
          <w:sz w:val="22"/>
          <w:szCs w:val="22"/>
          <w:vertAlign w:val="superscript"/>
          <w:lang w:val="en-US"/>
        </w:rPr>
        <w:t>2</w:t>
      </w:r>
      <w:r w:rsidRPr="008D42F5">
        <w:rPr>
          <w:iCs/>
          <w:sz w:val="22"/>
          <w:szCs w:val="22"/>
          <w:lang w:val="en-US"/>
        </w:rPr>
        <w:t>Institute of Nuclear Physics, 050032 Almaty, Kazakhstan</w:t>
      </w:r>
    </w:p>
    <w:p w14:paraId="35DEC975" w14:textId="2533AE01" w:rsidR="008D42F5" w:rsidRPr="008D42F5" w:rsidRDefault="008D42F5" w:rsidP="008D42F5">
      <w:pPr>
        <w:widowControl w:val="0"/>
        <w:jc w:val="center"/>
        <w:rPr>
          <w:iCs/>
          <w:sz w:val="22"/>
          <w:szCs w:val="22"/>
          <w:lang w:val="en-US"/>
        </w:rPr>
      </w:pPr>
      <w:r w:rsidRPr="008D42F5">
        <w:rPr>
          <w:iCs/>
          <w:sz w:val="22"/>
          <w:szCs w:val="22"/>
          <w:vertAlign w:val="superscript"/>
          <w:lang w:val="en-US"/>
        </w:rPr>
        <w:t>3</w:t>
      </w:r>
      <w:r w:rsidRPr="008D42F5">
        <w:rPr>
          <w:iCs/>
          <w:sz w:val="22"/>
          <w:szCs w:val="22"/>
          <w:lang w:val="en-US"/>
        </w:rPr>
        <w:t xml:space="preserve">Palacky University Olomouc, Department of Experimental Physics, Faculty of Science, </w:t>
      </w:r>
      <w:r>
        <w:rPr>
          <w:iCs/>
          <w:sz w:val="22"/>
          <w:szCs w:val="22"/>
          <w:lang w:val="en-US"/>
        </w:rPr>
        <w:br/>
      </w:r>
      <w:r w:rsidRPr="008D42F5">
        <w:rPr>
          <w:iCs/>
          <w:sz w:val="22"/>
          <w:szCs w:val="22"/>
          <w:lang w:val="en-US"/>
        </w:rPr>
        <w:t>771 46 Olomouc, Czech Republic</w:t>
      </w:r>
    </w:p>
    <w:p w14:paraId="3EE35E5A" w14:textId="3CB920FF" w:rsidR="008D42F5" w:rsidRPr="008D42F5" w:rsidRDefault="008D42F5" w:rsidP="008D42F5">
      <w:pPr>
        <w:widowControl w:val="0"/>
        <w:jc w:val="center"/>
        <w:rPr>
          <w:iCs/>
          <w:sz w:val="22"/>
          <w:szCs w:val="22"/>
          <w:lang w:val="en-US"/>
        </w:rPr>
      </w:pPr>
      <w:r w:rsidRPr="008D42F5">
        <w:rPr>
          <w:iCs/>
          <w:sz w:val="22"/>
          <w:szCs w:val="22"/>
          <w:vertAlign w:val="superscript"/>
          <w:lang w:val="en-US"/>
        </w:rPr>
        <w:t>4</w:t>
      </w:r>
      <w:r w:rsidRPr="008D42F5">
        <w:rPr>
          <w:iCs/>
          <w:sz w:val="22"/>
          <w:szCs w:val="22"/>
          <w:lang w:val="en-US"/>
        </w:rPr>
        <w:t xml:space="preserve">State Key Laboratory of Heavy Ion Science and Technology, Institute of Modern Physics, </w:t>
      </w:r>
      <w:r>
        <w:rPr>
          <w:iCs/>
          <w:sz w:val="22"/>
          <w:szCs w:val="22"/>
          <w:lang w:val="en-US"/>
        </w:rPr>
        <w:br/>
      </w:r>
      <w:r w:rsidRPr="008D42F5">
        <w:rPr>
          <w:iCs/>
          <w:sz w:val="22"/>
          <w:szCs w:val="22"/>
          <w:lang w:val="en-US"/>
        </w:rPr>
        <w:t>Chinese Academy of Sciences, Lanzhou 730000, China</w:t>
      </w:r>
    </w:p>
    <w:p w14:paraId="653B1E1F" w14:textId="65E9283A" w:rsidR="008D42F5" w:rsidRDefault="008D42F5" w:rsidP="008D42F5">
      <w:pPr>
        <w:widowControl w:val="0"/>
        <w:jc w:val="center"/>
        <w:rPr>
          <w:iCs/>
          <w:sz w:val="22"/>
          <w:szCs w:val="22"/>
          <w:lang w:val="en-US"/>
        </w:rPr>
      </w:pPr>
      <w:r w:rsidRPr="008D42F5">
        <w:rPr>
          <w:iCs/>
          <w:sz w:val="22"/>
          <w:szCs w:val="22"/>
          <w:vertAlign w:val="superscript"/>
          <w:lang w:val="en-US"/>
        </w:rPr>
        <w:t>5</w:t>
      </w:r>
      <w:r w:rsidRPr="008D42F5">
        <w:rPr>
          <w:iCs/>
          <w:sz w:val="22"/>
          <w:szCs w:val="22"/>
          <w:lang w:val="en-US"/>
        </w:rPr>
        <w:t xml:space="preserve">School of Nuclear Science and Technology, University of Chinese Academy of Sciences, </w:t>
      </w:r>
      <w:r>
        <w:rPr>
          <w:iCs/>
          <w:sz w:val="22"/>
          <w:szCs w:val="22"/>
          <w:lang w:val="en-US"/>
        </w:rPr>
        <w:br/>
      </w:r>
      <w:r w:rsidRPr="008D42F5">
        <w:rPr>
          <w:iCs/>
          <w:sz w:val="22"/>
          <w:szCs w:val="22"/>
          <w:lang w:val="en-US"/>
        </w:rPr>
        <w:t>Beijing 100049, China</w:t>
      </w:r>
    </w:p>
    <w:p w14:paraId="47F0882E" w14:textId="77777777" w:rsidR="008D42F5" w:rsidRPr="00896584" w:rsidRDefault="008D42F5" w:rsidP="00C72256">
      <w:pPr>
        <w:widowControl w:val="0"/>
        <w:jc w:val="center"/>
        <w:rPr>
          <w:iCs/>
          <w:sz w:val="22"/>
          <w:szCs w:val="22"/>
          <w:lang w:val="en-US"/>
        </w:rPr>
      </w:pPr>
    </w:p>
    <w:p w14:paraId="45249E1D" w14:textId="2BBBB910" w:rsidR="00AC0C40" w:rsidRPr="00896584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  <w:lang w:val="en-US"/>
        </w:rPr>
      </w:pPr>
      <w:r w:rsidRPr="006D37DF">
        <w:rPr>
          <w:sz w:val="22"/>
          <w:lang w:val="en-US"/>
        </w:rPr>
        <w:t>E</w:t>
      </w:r>
      <w:r w:rsidRPr="00896584">
        <w:rPr>
          <w:sz w:val="22"/>
          <w:lang w:val="en-US"/>
        </w:rPr>
        <w:t>-</w:t>
      </w:r>
      <w:r w:rsidRPr="006D37DF">
        <w:rPr>
          <w:sz w:val="22"/>
          <w:lang w:val="en-US"/>
        </w:rPr>
        <w:t>mail</w:t>
      </w:r>
      <w:r w:rsidRPr="00896584">
        <w:rPr>
          <w:sz w:val="22"/>
          <w:lang w:val="en-US"/>
        </w:rPr>
        <w:t>:</w:t>
      </w:r>
      <w:r w:rsidR="00B85AE8">
        <w:rPr>
          <w:sz w:val="22"/>
          <w:lang w:val="en-US"/>
        </w:rPr>
        <w:t xml:space="preserve"> </w:t>
      </w:r>
      <w:hyperlink r:id="rId7" w:history="1">
        <w:r w:rsidR="00B85AE8" w:rsidRPr="0013389C">
          <w:rPr>
            <w:rStyle w:val="Hyperlink"/>
            <w:sz w:val="22"/>
            <w:lang w:val="en-US"/>
          </w:rPr>
          <w:t>karanfil@jinr.ru</w:t>
        </w:r>
      </w:hyperlink>
      <w:r w:rsidR="00B85AE8">
        <w:rPr>
          <w:sz w:val="22"/>
          <w:lang w:val="en-US"/>
        </w:rPr>
        <w:t xml:space="preserve"> </w:t>
      </w:r>
    </w:p>
    <w:p w14:paraId="110B1FA6" w14:textId="77777777" w:rsidR="00AC0C40" w:rsidRPr="00896584" w:rsidRDefault="00AC0C40" w:rsidP="00AC0C40">
      <w:pPr>
        <w:widowControl w:val="0"/>
        <w:jc w:val="center"/>
        <w:rPr>
          <w:iCs/>
          <w:sz w:val="22"/>
          <w:szCs w:val="22"/>
          <w:lang w:val="en-US"/>
        </w:rPr>
      </w:pPr>
    </w:p>
    <w:p w14:paraId="1204EDEE" w14:textId="77777777" w:rsidR="004B261E" w:rsidRDefault="00397D1E" w:rsidP="004B261E">
      <w:pPr>
        <w:widowControl w:val="0"/>
        <w:ind w:firstLine="425"/>
        <w:jc w:val="both"/>
        <w:rPr>
          <w:b/>
          <w:bCs/>
          <w:lang w:val="en-US"/>
        </w:rPr>
      </w:pPr>
      <w:r w:rsidRPr="00397D1E">
        <w:rPr>
          <w:lang w:val="en-US"/>
        </w:rPr>
        <w:t xml:space="preserve">In this study, </w:t>
      </w:r>
      <w:r w:rsidRPr="004343F3">
        <w:rPr>
          <w:vertAlign w:val="superscript"/>
          <w:lang w:val="en-US"/>
        </w:rPr>
        <w:t>237</w:t>
      </w:r>
      <w:r w:rsidRPr="00397D1E">
        <w:rPr>
          <w:lang w:val="en-US"/>
        </w:rPr>
        <w:t>Np+</w:t>
      </w:r>
      <w:r w:rsidRPr="004343F3">
        <w:rPr>
          <w:vertAlign w:val="superscript"/>
          <w:lang w:val="en-US"/>
        </w:rPr>
        <w:t>48</w:t>
      </w:r>
      <w:r w:rsidRPr="00397D1E">
        <w:rPr>
          <w:lang w:val="en-US"/>
        </w:rPr>
        <w:t>Ca reaction performed at the DGFRS-2 gas filled separator [1] at the Super Heavy Element Factory [</w:t>
      </w:r>
      <w:r w:rsidR="00502931">
        <w:rPr>
          <w:lang w:val="en-US"/>
        </w:rPr>
        <w:t>2</w:t>
      </w:r>
      <w:r w:rsidRPr="00397D1E">
        <w:rPr>
          <w:lang w:val="en-US"/>
        </w:rPr>
        <w:t xml:space="preserve">] at </w:t>
      </w:r>
      <w:proofErr w:type="spellStart"/>
      <w:r w:rsidRPr="00397D1E">
        <w:rPr>
          <w:lang w:val="en-US"/>
        </w:rPr>
        <w:t>Flerov</w:t>
      </w:r>
      <w:proofErr w:type="spellEnd"/>
      <w:r w:rsidRPr="00397D1E">
        <w:rPr>
          <w:lang w:val="en-US"/>
        </w:rPr>
        <w:t xml:space="preserve"> Laboratory of Nuclear Reactions will be presented. The significance of this reaction is that it can be used to measure the decay properties of the daughter products of the </w:t>
      </w:r>
      <w:r w:rsidRPr="004343F3">
        <w:rPr>
          <w:vertAlign w:val="superscript"/>
          <w:lang w:val="en-US"/>
        </w:rPr>
        <w:t>243</w:t>
      </w:r>
      <w:r w:rsidRPr="00397D1E">
        <w:rPr>
          <w:lang w:val="en-US"/>
        </w:rPr>
        <w:t xml:space="preserve">Am + </w:t>
      </w:r>
      <w:r w:rsidRPr="004343F3">
        <w:rPr>
          <w:vertAlign w:val="superscript"/>
          <w:lang w:val="en-US"/>
        </w:rPr>
        <w:t>54</w:t>
      </w:r>
      <w:r w:rsidRPr="00397D1E">
        <w:rPr>
          <w:lang w:val="en-US"/>
        </w:rPr>
        <w:t xml:space="preserve">Cr reaction, which can be used for the synthesis of the element 119. During the experiment, three alpha decay chains of </w:t>
      </w:r>
      <w:r w:rsidRPr="004343F3">
        <w:rPr>
          <w:vertAlign w:val="superscript"/>
          <w:lang w:val="en-US"/>
        </w:rPr>
        <w:t>282</w:t>
      </w:r>
      <w:r w:rsidRPr="00397D1E">
        <w:rPr>
          <w:lang w:val="en-US"/>
        </w:rPr>
        <w:t xml:space="preserve">Nh are observed. These chains consist of the descendant nuclei </w:t>
      </w:r>
      <w:r w:rsidRPr="004343F3">
        <w:rPr>
          <w:vertAlign w:val="superscript"/>
          <w:lang w:val="en-US"/>
        </w:rPr>
        <w:t>278</w:t>
      </w:r>
      <w:r w:rsidRPr="00397D1E">
        <w:rPr>
          <w:lang w:val="en-US"/>
        </w:rPr>
        <w:t xml:space="preserve">Rg, </w:t>
      </w:r>
      <w:r w:rsidRPr="004343F3">
        <w:rPr>
          <w:vertAlign w:val="superscript"/>
          <w:lang w:val="en-US"/>
        </w:rPr>
        <w:t>274</w:t>
      </w:r>
      <w:r w:rsidRPr="00397D1E">
        <w:rPr>
          <w:lang w:val="en-US"/>
        </w:rPr>
        <w:t xml:space="preserve">Mt, </w:t>
      </w:r>
      <w:r w:rsidRPr="004343F3">
        <w:rPr>
          <w:vertAlign w:val="superscript"/>
          <w:lang w:val="en-US"/>
        </w:rPr>
        <w:t>270</w:t>
      </w:r>
      <w:r w:rsidRPr="00397D1E">
        <w:rPr>
          <w:lang w:val="en-US"/>
        </w:rPr>
        <w:t xml:space="preserve">Bh, and terminate with the spontaneous fission of </w:t>
      </w:r>
      <w:r w:rsidRPr="004343F3">
        <w:rPr>
          <w:vertAlign w:val="superscript"/>
          <w:lang w:val="en-US"/>
        </w:rPr>
        <w:t>266</w:t>
      </w:r>
      <w:r w:rsidRPr="00397D1E">
        <w:rPr>
          <w:lang w:val="en-US"/>
        </w:rPr>
        <w:t xml:space="preserve">Db. While the half-lives of </w:t>
      </w:r>
      <w:r w:rsidRPr="004343F3">
        <w:rPr>
          <w:vertAlign w:val="superscript"/>
          <w:lang w:val="en-US"/>
        </w:rPr>
        <w:t>282</w:t>
      </w:r>
      <w:r w:rsidRPr="00397D1E">
        <w:rPr>
          <w:lang w:val="en-US"/>
        </w:rPr>
        <w:t xml:space="preserve">Nh, </w:t>
      </w:r>
      <w:r w:rsidRPr="004343F3">
        <w:rPr>
          <w:vertAlign w:val="superscript"/>
          <w:lang w:val="en-US"/>
        </w:rPr>
        <w:t>278</w:t>
      </w:r>
      <w:r w:rsidRPr="00397D1E">
        <w:rPr>
          <w:lang w:val="en-US"/>
        </w:rPr>
        <w:t xml:space="preserve">Rg, and </w:t>
      </w:r>
      <w:r w:rsidRPr="004343F3">
        <w:rPr>
          <w:vertAlign w:val="superscript"/>
          <w:lang w:val="en-US"/>
        </w:rPr>
        <w:t>270</w:t>
      </w:r>
      <w:r w:rsidRPr="00397D1E">
        <w:rPr>
          <w:lang w:val="en-US"/>
        </w:rPr>
        <w:t>Bh are found to be consistent with the experimental systematics for odd-Z nuclei</w:t>
      </w:r>
      <w:r w:rsidR="004343F3">
        <w:rPr>
          <w:lang w:val="en-US"/>
        </w:rPr>
        <w:t>.</w:t>
      </w:r>
      <w:r w:rsidRPr="00397D1E">
        <w:rPr>
          <w:lang w:val="en-US"/>
        </w:rPr>
        <w:t xml:space="preserve"> </w:t>
      </w:r>
      <w:r w:rsidR="004343F3">
        <w:rPr>
          <w:lang w:val="en-US"/>
        </w:rPr>
        <w:t>T</w:t>
      </w:r>
      <w:r w:rsidRPr="00397D1E">
        <w:rPr>
          <w:lang w:val="en-US"/>
        </w:rPr>
        <w:t xml:space="preserve">he half-life of the third isotope in the chain, </w:t>
      </w:r>
      <w:r w:rsidRPr="004343F3">
        <w:rPr>
          <w:vertAlign w:val="superscript"/>
          <w:lang w:val="en-US"/>
        </w:rPr>
        <w:t>274</w:t>
      </w:r>
      <w:r w:rsidRPr="00397D1E">
        <w:rPr>
          <w:lang w:val="en-US"/>
        </w:rPr>
        <w:t>Mt, exceeds the systematic expectation by two orders of magnitude [</w:t>
      </w:r>
      <w:r w:rsidR="00502931">
        <w:rPr>
          <w:lang w:val="en-US"/>
        </w:rPr>
        <w:t>3</w:t>
      </w:r>
      <w:r w:rsidRPr="00397D1E">
        <w:rPr>
          <w:lang w:val="en-US"/>
        </w:rPr>
        <w:t xml:space="preserve">]. This significant deviation in half-life might indicate the presence of a long-lived isomeric state in </w:t>
      </w:r>
      <w:r w:rsidRPr="004343F3">
        <w:rPr>
          <w:vertAlign w:val="superscript"/>
          <w:lang w:val="en-US"/>
        </w:rPr>
        <w:t>274</w:t>
      </w:r>
      <w:r w:rsidRPr="00397D1E">
        <w:rPr>
          <w:lang w:val="en-US"/>
        </w:rPr>
        <w:t xml:space="preserve">Mt. This increased half-life has been measured for the first time for the heaviest odd-Z nuclei with Z ≥107. Reaction cross section is </w:t>
      </w:r>
      <w:r w:rsidRPr="00502931">
        <w:rPr>
          <w:rStyle w:val="CharAttribute2"/>
          <w:rFonts w:ascii="Times New Roman" w:eastAsia="Batang" w:hAnsi="Times New Roman" w:hint="default"/>
          <w:szCs w:val="20"/>
          <w:lang w:val="en-US"/>
        </w:rPr>
        <w:t>0.43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Batang" w:hAnsi="Cambria Math"/>
                <w:i/>
                <w:sz w:val="16"/>
                <w:szCs w:val="16"/>
              </w:rPr>
            </m:ctrlPr>
          </m:mPr>
          <m:mr>
            <m:e>
              <m:r>
                <w:rPr>
                  <w:rFonts w:ascii="Cambria Math" w:eastAsia="Batang" w:hAnsi="Cambria Math"/>
                  <w:sz w:val="16"/>
                  <w:szCs w:val="16"/>
                  <w:lang w:val="en-US"/>
                </w:rPr>
                <m:t>+0.46</m:t>
              </m:r>
            </m:e>
          </m:mr>
          <m:mr>
            <m:e>
              <m:r>
                <w:rPr>
                  <w:rFonts w:ascii="Cambria Math" w:eastAsia="Batang" w:hAnsi="Cambria Math"/>
                  <w:sz w:val="16"/>
                  <w:szCs w:val="16"/>
                  <w:lang w:val="en-US"/>
                </w:rPr>
                <m:t>-0.25</m:t>
              </m:r>
            </m:e>
          </m:mr>
        </m:m>
      </m:oMath>
      <w:r w:rsidRPr="00397D1E">
        <w:rPr>
          <w:lang w:val="en-US"/>
        </w:rPr>
        <w:t xml:space="preserve">pb for the 3n channel. This value is consistent with the shape of the excitation functions of the 3n channel in </w:t>
      </w:r>
      <w:r w:rsidRPr="004343F3">
        <w:rPr>
          <w:vertAlign w:val="superscript"/>
          <w:lang w:val="en-US"/>
        </w:rPr>
        <w:t>48</w:t>
      </w:r>
      <w:r w:rsidRPr="00397D1E">
        <w:rPr>
          <w:lang w:val="en-US"/>
        </w:rPr>
        <w:t>Ca-induced reactions [</w:t>
      </w:r>
      <w:r w:rsidR="00502931">
        <w:rPr>
          <w:lang w:val="en-US"/>
        </w:rPr>
        <w:t>4</w:t>
      </w:r>
      <w:r w:rsidRPr="00397D1E">
        <w:rPr>
          <w:lang w:val="en-US"/>
        </w:rPr>
        <w:t>]. The upper cross-section limit of the 4n reaction channel was 0.28 pb.</w:t>
      </w:r>
    </w:p>
    <w:p w14:paraId="471113B8" w14:textId="77777777" w:rsidR="004B261E" w:rsidRDefault="004B261E" w:rsidP="004B261E">
      <w:pPr>
        <w:widowControl w:val="0"/>
        <w:ind w:firstLine="425"/>
        <w:jc w:val="both"/>
        <w:rPr>
          <w:b/>
          <w:bCs/>
          <w:sz w:val="22"/>
          <w:szCs w:val="22"/>
          <w:lang w:val="en-US"/>
        </w:rPr>
      </w:pPr>
    </w:p>
    <w:p w14:paraId="61DD3D04" w14:textId="62288206" w:rsidR="0057209F" w:rsidRPr="004B261E" w:rsidRDefault="00896584" w:rsidP="004B261E">
      <w:pPr>
        <w:widowControl w:val="0"/>
        <w:ind w:firstLine="425"/>
        <w:jc w:val="center"/>
        <w:rPr>
          <w:b/>
          <w:bCs/>
          <w:lang w:val="en-US"/>
        </w:rPr>
      </w:pPr>
      <w:r w:rsidRPr="00397D1E">
        <w:rPr>
          <w:b/>
          <w:bCs/>
          <w:sz w:val="22"/>
          <w:szCs w:val="22"/>
          <w:lang w:val="en-US"/>
        </w:rPr>
        <w:t>References</w:t>
      </w:r>
    </w:p>
    <w:p w14:paraId="292ABEEE" w14:textId="67EB69B4" w:rsidR="004B261E" w:rsidRDefault="004B261E" w:rsidP="0044774A">
      <w:pPr>
        <w:widowControl w:val="0"/>
        <w:jc w:val="both"/>
        <w:rPr>
          <w:lang w:val="en-US"/>
        </w:rPr>
      </w:pPr>
    </w:p>
    <w:p w14:paraId="0A537738" w14:textId="3CF6BB0C" w:rsidR="0044774A" w:rsidRPr="004B261E" w:rsidRDefault="0044774A" w:rsidP="004B261E">
      <w:pPr>
        <w:pStyle w:val="ListParagraph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4B261E">
        <w:rPr>
          <w:rFonts w:ascii="Times New Roman" w:hAnsi="Times New Roman"/>
          <w:lang w:val="en-US"/>
        </w:rPr>
        <w:t xml:space="preserve">Yu. Ts. </w:t>
      </w:r>
      <w:proofErr w:type="spellStart"/>
      <w:r w:rsidRPr="004B261E">
        <w:rPr>
          <w:rFonts w:ascii="Times New Roman" w:hAnsi="Times New Roman"/>
          <w:lang w:val="en-US"/>
        </w:rPr>
        <w:t>Oganessian</w:t>
      </w:r>
      <w:proofErr w:type="spellEnd"/>
      <w:r w:rsidRPr="004B261E">
        <w:rPr>
          <w:rFonts w:ascii="Times New Roman" w:hAnsi="Times New Roman"/>
          <w:lang w:val="en-US"/>
        </w:rPr>
        <w:t xml:space="preserve"> et al., DGFRS-2 – A gas-filled recoil separator for the </w:t>
      </w:r>
      <w:proofErr w:type="spellStart"/>
      <w:r w:rsidRPr="004B261E">
        <w:rPr>
          <w:rFonts w:ascii="Times New Roman" w:hAnsi="Times New Roman"/>
          <w:lang w:val="en-US"/>
        </w:rPr>
        <w:t>Dubna</w:t>
      </w:r>
      <w:proofErr w:type="spellEnd"/>
      <w:r w:rsidRPr="004B261E">
        <w:rPr>
          <w:rFonts w:ascii="Times New Roman" w:hAnsi="Times New Roman"/>
          <w:lang w:val="en-US"/>
        </w:rPr>
        <w:t xml:space="preserve"> Super Heavy Element</w:t>
      </w:r>
      <w:r w:rsidR="004B261E" w:rsidRPr="004B261E">
        <w:rPr>
          <w:rFonts w:ascii="Times New Roman" w:hAnsi="Times New Roman"/>
          <w:lang w:val="en-US"/>
        </w:rPr>
        <w:t xml:space="preserve"> </w:t>
      </w:r>
      <w:r w:rsidRPr="004B261E">
        <w:rPr>
          <w:rFonts w:ascii="Times New Roman" w:hAnsi="Times New Roman"/>
          <w:lang w:val="en-US"/>
        </w:rPr>
        <w:t xml:space="preserve">Factory, </w:t>
      </w:r>
      <w:proofErr w:type="spellStart"/>
      <w:r w:rsidRPr="004B261E">
        <w:rPr>
          <w:rFonts w:ascii="Times New Roman" w:hAnsi="Times New Roman"/>
          <w:lang w:val="en-US"/>
        </w:rPr>
        <w:t>Nucl</w:t>
      </w:r>
      <w:proofErr w:type="spellEnd"/>
      <w:r w:rsidRPr="004B261E">
        <w:rPr>
          <w:rFonts w:ascii="Times New Roman" w:hAnsi="Times New Roman"/>
          <w:lang w:val="en-US"/>
        </w:rPr>
        <w:t xml:space="preserve">. </w:t>
      </w:r>
      <w:proofErr w:type="spellStart"/>
      <w:r w:rsidRPr="004B261E">
        <w:rPr>
          <w:rFonts w:ascii="Times New Roman" w:hAnsi="Times New Roman"/>
          <w:lang w:val="en-US"/>
        </w:rPr>
        <w:t>Instrum</w:t>
      </w:r>
      <w:proofErr w:type="spellEnd"/>
      <w:r w:rsidRPr="004B261E">
        <w:rPr>
          <w:rFonts w:ascii="Times New Roman" w:hAnsi="Times New Roman"/>
          <w:lang w:val="en-US"/>
        </w:rPr>
        <w:t xml:space="preserve">. Methods Phys. Res. A 1033, 166640 (2022); D. I. </w:t>
      </w:r>
      <w:proofErr w:type="spellStart"/>
      <w:r w:rsidRPr="004B261E">
        <w:rPr>
          <w:rFonts w:ascii="Times New Roman" w:hAnsi="Times New Roman"/>
          <w:lang w:val="en-US"/>
        </w:rPr>
        <w:t>Solovyev</w:t>
      </w:r>
      <w:proofErr w:type="spellEnd"/>
      <w:r w:rsidRPr="004B261E">
        <w:rPr>
          <w:rFonts w:ascii="Times New Roman" w:hAnsi="Times New Roman"/>
          <w:lang w:val="en-US"/>
        </w:rPr>
        <w:t xml:space="preserve"> and N. D. </w:t>
      </w:r>
      <w:proofErr w:type="spellStart"/>
      <w:r w:rsidRPr="004B261E">
        <w:rPr>
          <w:rFonts w:ascii="Times New Roman" w:hAnsi="Times New Roman"/>
          <w:lang w:val="en-US"/>
        </w:rPr>
        <w:t>Kovrizhnykh</w:t>
      </w:r>
      <w:proofErr w:type="spellEnd"/>
      <w:r w:rsidRPr="004B261E">
        <w:rPr>
          <w:rFonts w:ascii="Times New Roman" w:hAnsi="Times New Roman"/>
          <w:lang w:val="en-US"/>
        </w:rPr>
        <w:t xml:space="preserve">, Simulations of recoil trajectories in </w:t>
      </w:r>
      <w:proofErr w:type="spellStart"/>
      <w:r w:rsidRPr="004B261E">
        <w:rPr>
          <w:rFonts w:ascii="Times New Roman" w:hAnsi="Times New Roman"/>
          <w:lang w:val="en-US"/>
        </w:rPr>
        <w:t>dubna</w:t>
      </w:r>
      <w:proofErr w:type="spellEnd"/>
      <w:r w:rsidRPr="004B261E">
        <w:rPr>
          <w:rFonts w:ascii="Times New Roman" w:hAnsi="Times New Roman"/>
          <w:lang w:val="en-US"/>
        </w:rPr>
        <w:t xml:space="preserve"> gas-filled recoil separator 2 by GEANT4 toolkit, J. </w:t>
      </w:r>
      <w:proofErr w:type="spellStart"/>
      <w:r w:rsidRPr="004B261E">
        <w:rPr>
          <w:rFonts w:ascii="Times New Roman" w:hAnsi="Times New Roman"/>
          <w:lang w:val="en-US"/>
        </w:rPr>
        <w:t>Instrum</w:t>
      </w:r>
      <w:proofErr w:type="spellEnd"/>
      <w:r w:rsidRPr="004B261E">
        <w:rPr>
          <w:rFonts w:ascii="Times New Roman" w:hAnsi="Times New Roman"/>
          <w:lang w:val="en-US"/>
        </w:rPr>
        <w:t>. 17, P07033 (2022).</w:t>
      </w:r>
    </w:p>
    <w:p w14:paraId="4D4315E7" w14:textId="260124A1" w:rsidR="004B261E" w:rsidRDefault="0044774A" w:rsidP="00CB2E17">
      <w:pPr>
        <w:pStyle w:val="ListParagraph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4B261E">
        <w:rPr>
          <w:rFonts w:ascii="Times New Roman" w:hAnsi="Times New Roman"/>
          <w:lang w:val="en-US"/>
        </w:rPr>
        <w:t xml:space="preserve">G. G. </w:t>
      </w:r>
      <w:proofErr w:type="spellStart"/>
      <w:r w:rsidRPr="004B261E">
        <w:rPr>
          <w:rFonts w:ascii="Times New Roman" w:hAnsi="Times New Roman"/>
          <w:lang w:val="en-US"/>
        </w:rPr>
        <w:t>Gulbekian</w:t>
      </w:r>
      <w:proofErr w:type="spellEnd"/>
      <w:r w:rsidRPr="004B261E">
        <w:rPr>
          <w:rFonts w:ascii="Times New Roman" w:hAnsi="Times New Roman"/>
          <w:lang w:val="en-US"/>
        </w:rPr>
        <w:t xml:space="preserve"> et al., Start-up of the DC-280 cyclotron, the basic facility of the factory of </w:t>
      </w:r>
      <w:proofErr w:type="spellStart"/>
      <w:r w:rsidRPr="004B261E">
        <w:rPr>
          <w:rFonts w:ascii="Times New Roman" w:hAnsi="Times New Roman"/>
          <w:lang w:val="en-US"/>
        </w:rPr>
        <w:t>superheavy</w:t>
      </w:r>
      <w:proofErr w:type="spellEnd"/>
      <w:r w:rsidRPr="004B261E">
        <w:rPr>
          <w:rFonts w:ascii="Times New Roman" w:hAnsi="Times New Roman"/>
          <w:lang w:val="en-US"/>
        </w:rPr>
        <w:t xml:space="preserve"> elements of the laboratory of nuclear reactions at the joint institute for nuclear research, Phys. Part. </w:t>
      </w:r>
      <w:proofErr w:type="spellStart"/>
      <w:r w:rsidRPr="004B261E">
        <w:rPr>
          <w:rFonts w:ascii="Times New Roman" w:hAnsi="Times New Roman"/>
          <w:lang w:val="en-US"/>
        </w:rPr>
        <w:t>Nucl</w:t>
      </w:r>
      <w:proofErr w:type="spellEnd"/>
      <w:r w:rsidRPr="004B261E">
        <w:rPr>
          <w:rFonts w:ascii="Times New Roman" w:hAnsi="Times New Roman"/>
          <w:lang w:val="en-US"/>
        </w:rPr>
        <w:t>. Lett. 16, 866 (2019).</w:t>
      </w:r>
    </w:p>
    <w:p w14:paraId="14E6FE5F" w14:textId="7E73F41D" w:rsidR="004B261E" w:rsidRDefault="0044774A" w:rsidP="00CB2E17">
      <w:pPr>
        <w:pStyle w:val="ListParagraph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4B261E">
        <w:rPr>
          <w:rFonts w:ascii="Times New Roman" w:hAnsi="Times New Roman"/>
          <w:lang w:val="en-US"/>
        </w:rPr>
        <w:t xml:space="preserve">F.G. </w:t>
      </w:r>
      <w:proofErr w:type="spellStart"/>
      <w:r w:rsidRPr="004B261E">
        <w:rPr>
          <w:rFonts w:ascii="Times New Roman" w:hAnsi="Times New Roman"/>
          <w:lang w:val="en-US"/>
        </w:rPr>
        <w:t>Kondev</w:t>
      </w:r>
      <w:proofErr w:type="spellEnd"/>
      <w:r w:rsidRPr="004B261E">
        <w:rPr>
          <w:rFonts w:ascii="Times New Roman" w:hAnsi="Times New Roman"/>
          <w:lang w:val="en-US"/>
        </w:rPr>
        <w:t xml:space="preserve">, M. Wang, W.J. Huang, S. </w:t>
      </w:r>
      <w:proofErr w:type="spellStart"/>
      <w:r w:rsidRPr="004B261E">
        <w:rPr>
          <w:rFonts w:ascii="Times New Roman" w:hAnsi="Times New Roman"/>
          <w:lang w:val="en-US"/>
        </w:rPr>
        <w:t>Naimi</w:t>
      </w:r>
      <w:proofErr w:type="spellEnd"/>
      <w:r w:rsidRPr="004B261E">
        <w:rPr>
          <w:rFonts w:ascii="Times New Roman" w:hAnsi="Times New Roman"/>
          <w:lang w:val="en-US"/>
        </w:rPr>
        <w:t>, and G. Audi, The NUBASE2020 evaluation of nuclear physics properties, Chin. Phys. C 45, 030001 (2021).</w:t>
      </w:r>
    </w:p>
    <w:p w14:paraId="41690607" w14:textId="2C1511B3" w:rsidR="00D25575" w:rsidRPr="004B261E" w:rsidRDefault="0044774A" w:rsidP="00CB2E17">
      <w:pPr>
        <w:pStyle w:val="ListParagraph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D25575">
        <w:rPr>
          <w:rFonts w:ascii="Times New Roman" w:hAnsi="Times New Roman"/>
          <w:lang w:val="en-US"/>
        </w:rPr>
        <w:t xml:space="preserve">Yu. Ts. </w:t>
      </w:r>
      <w:proofErr w:type="spellStart"/>
      <w:r w:rsidRPr="00D25575">
        <w:rPr>
          <w:rFonts w:ascii="Times New Roman" w:hAnsi="Times New Roman"/>
          <w:lang w:val="en-US"/>
        </w:rPr>
        <w:t>Oganessian</w:t>
      </w:r>
      <w:proofErr w:type="spellEnd"/>
      <w:r w:rsidRPr="00D25575">
        <w:rPr>
          <w:rFonts w:ascii="Times New Roman" w:hAnsi="Times New Roman"/>
          <w:lang w:val="en-US"/>
        </w:rPr>
        <w:t xml:space="preserve"> and V. K. </w:t>
      </w:r>
      <w:proofErr w:type="spellStart"/>
      <w:r w:rsidRPr="00D25575">
        <w:rPr>
          <w:rFonts w:ascii="Times New Roman" w:hAnsi="Times New Roman"/>
          <w:lang w:val="en-US"/>
        </w:rPr>
        <w:t>Utyonkov</w:t>
      </w:r>
      <w:proofErr w:type="spellEnd"/>
      <w:r w:rsidRPr="00D25575">
        <w:rPr>
          <w:rFonts w:ascii="Times New Roman" w:hAnsi="Times New Roman"/>
          <w:lang w:val="en-US"/>
        </w:rPr>
        <w:t xml:space="preserve">, Super-heavy element research, Rep. Prog. Phys. 78, 036301 (2015); </w:t>
      </w:r>
      <w:proofErr w:type="spellStart"/>
      <w:r w:rsidRPr="00D25575">
        <w:rPr>
          <w:rFonts w:ascii="Times New Roman" w:hAnsi="Times New Roman"/>
          <w:lang w:val="en-US"/>
        </w:rPr>
        <w:t>Superheavy</w:t>
      </w:r>
      <w:proofErr w:type="spellEnd"/>
      <w:r w:rsidRPr="00D25575">
        <w:rPr>
          <w:rFonts w:ascii="Times New Roman" w:hAnsi="Times New Roman"/>
          <w:lang w:val="en-US"/>
        </w:rPr>
        <w:t xml:space="preserve"> nuclei from 48Ca-induced reactions, </w:t>
      </w:r>
      <w:proofErr w:type="spellStart"/>
      <w:r w:rsidRPr="00D25575">
        <w:rPr>
          <w:rFonts w:ascii="Times New Roman" w:hAnsi="Times New Roman"/>
          <w:lang w:val="en-US"/>
        </w:rPr>
        <w:t>Nucl</w:t>
      </w:r>
      <w:proofErr w:type="spellEnd"/>
      <w:r w:rsidRPr="00D25575">
        <w:rPr>
          <w:rFonts w:ascii="Times New Roman" w:hAnsi="Times New Roman"/>
          <w:lang w:val="en-US"/>
        </w:rPr>
        <w:t>. Phys. A 944, 62 (2015).</w:t>
      </w:r>
    </w:p>
    <w:sectPr w:rsidR="00D25575" w:rsidRPr="004B261E" w:rsidSect="000B0E0B">
      <w:footerReference w:type="even" r:id="rId8"/>
      <w:footerReference w:type="default" r:id="rId9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7F964" w14:textId="77777777" w:rsidR="004F78DD" w:rsidRDefault="004F78DD">
      <w:r>
        <w:separator/>
      </w:r>
    </w:p>
  </w:endnote>
  <w:endnote w:type="continuationSeparator" w:id="0">
    <w:p w14:paraId="472FF868" w14:textId="77777777" w:rsidR="004F78DD" w:rsidRDefault="004F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5732B" w14:textId="77777777" w:rsidR="00847CA5" w:rsidRDefault="00847C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FFF637" w14:textId="77777777" w:rsidR="00847CA5" w:rsidRDefault="00847C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C38BE" w14:textId="28659AAA" w:rsidR="00847CA5" w:rsidRDefault="00847C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25F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679AB76" w14:textId="77777777" w:rsidR="00847CA5" w:rsidRDefault="00847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1A338" w14:textId="77777777" w:rsidR="004F78DD" w:rsidRDefault="004F78DD">
      <w:r>
        <w:separator/>
      </w:r>
    </w:p>
  </w:footnote>
  <w:footnote w:type="continuationSeparator" w:id="0">
    <w:p w14:paraId="786D3210" w14:textId="77777777" w:rsidR="004F78DD" w:rsidRDefault="004F7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ABC039B"/>
    <w:multiLevelType w:val="hybridMultilevel"/>
    <w:tmpl w:val="0010BF5E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3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2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4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5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>
    <w:abstractNumId w:val="4"/>
  </w:num>
  <w:num w:numId="2">
    <w:abstractNumId w:val="7"/>
  </w:num>
  <w:num w:numId="3">
    <w:abstractNumId w:val="18"/>
  </w:num>
  <w:num w:numId="4">
    <w:abstractNumId w:val="9"/>
  </w:num>
  <w:num w:numId="5">
    <w:abstractNumId w:val="12"/>
  </w:num>
  <w:num w:numId="6">
    <w:abstractNumId w:val="6"/>
  </w:num>
  <w:num w:numId="7">
    <w:abstractNumId w:val="3"/>
  </w:num>
  <w:num w:numId="8">
    <w:abstractNumId w:val="13"/>
  </w:num>
  <w:num w:numId="9">
    <w:abstractNumId w:val="11"/>
  </w:num>
  <w:num w:numId="10">
    <w:abstractNumId w:val="5"/>
  </w:num>
  <w:num w:numId="11">
    <w:abstractNumId w:val="14"/>
  </w:num>
  <w:num w:numId="12">
    <w:abstractNumId w:val="17"/>
  </w:num>
  <w:num w:numId="13">
    <w:abstractNumId w:val="0"/>
  </w:num>
  <w:num w:numId="14">
    <w:abstractNumId w:val="8"/>
  </w:num>
  <w:num w:numId="15">
    <w:abstractNumId w:val="16"/>
  </w:num>
  <w:num w:numId="16">
    <w:abstractNumId w:val="10"/>
  </w:num>
  <w:num w:numId="17">
    <w:abstractNumId w:val="15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246"/>
    <w:rsid w:val="00035095"/>
    <w:rsid w:val="000525F2"/>
    <w:rsid w:val="00055C6C"/>
    <w:rsid w:val="00070D82"/>
    <w:rsid w:val="00086F95"/>
    <w:rsid w:val="000A34D9"/>
    <w:rsid w:val="000B0E0B"/>
    <w:rsid w:val="000E19E0"/>
    <w:rsid w:val="000F02A9"/>
    <w:rsid w:val="000F0419"/>
    <w:rsid w:val="000F0F1B"/>
    <w:rsid w:val="00111BF1"/>
    <w:rsid w:val="00114E8F"/>
    <w:rsid w:val="00125483"/>
    <w:rsid w:val="001372FD"/>
    <w:rsid w:val="001606DE"/>
    <w:rsid w:val="001909D9"/>
    <w:rsid w:val="00195489"/>
    <w:rsid w:val="001E5799"/>
    <w:rsid w:val="001F10E2"/>
    <w:rsid w:val="001F2AFA"/>
    <w:rsid w:val="00201B48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D08B5"/>
    <w:rsid w:val="002E3F31"/>
    <w:rsid w:val="002F5BCC"/>
    <w:rsid w:val="0031635C"/>
    <w:rsid w:val="00346705"/>
    <w:rsid w:val="003503BD"/>
    <w:rsid w:val="00370C8E"/>
    <w:rsid w:val="00381753"/>
    <w:rsid w:val="00393417"/>
    <w:rsid w:val="00397D1E"/>
    <w:rsid w:val="003D61EB"/>
    <w:rsid w:val="003E6A2E"/>
    <w:rsid w:val="003F137F"/>
    <w:rsid w:val="00412D21"/>
    <w:rsid w:val="00432F50"/>
    <w:rsid w:val="004343F3"/>
    <w:rsid w:val="004346DD"/>
    <w:rsid w:val="00446617"/>
    <w:rsid w:val="0044774A"/>
    <w:rsid w:val="00451BA6"/>
    <w:rsid w:val="00451F02"/>
    <w:rsid w:val="00454CBE"/>
    <w:rsid w:val="004A1FD8"/>
    <w:rsid w:val="004A2EB5"/>
    <w:rsid w:val="004B261E"/>
    <w:rsid w:val="004E5CE2"/>
    <w:rsid w:val="004E7AAD"/>
    <w:rsid w:val="004F4937"/>
    <w:rsid w:val="004F78DD"/>
    <w:rsid w:val="00502931"/>
    <w:rsid w:val="005069D6"/>
    <w:rsid w:val="005138D5"/>
    <w:rsid w:val="0051593A"/>
    <w:rsid w:val="005639D8"/>
    <w:rsid w:val="0057209F"/>
    <w:rsid w:val="00575998"/>
    <w:rsid w:val="005968B7"/>
    <w:rsid w:val="005D4246"/>
    <w:rsid w:val="005E0DDF"/>
    <w:rsid w:val="00635A3C"/>
    <w:rsid w:val="00652DFE"/>
    <w:rsid w:val="00664EA7"/>
    <w:rsid w:val="00673395"/>
    <w:rsid w:val="006848D1"/>
    <w:rsid w:val="00691610"/>
    <w:rsid w:val="006A3A86"/>
    <w:rsid w:val="006A3CB6"/>
    <w:rsid w:val="006B5B29"/>
    <w:rsid w:val="006C2149"/>
    <w:rsid w:val="006C3827"/>
    <w:rsid w:val="006D50EE"/>
    <w:rsid w:val="006E2507"/>
    <w:rsid w:val="006F38AD"/>
    <w:rsid w:val="007144BE"/>
    <w:rsid w:val="007160B3"/>
    <w:rsid w:val="00723184"/>
    <w:rsid w:val="00741D21"/>
    <w:rsid w:val="007E5BF5"/>
    <w:rsid w:val="00803A95"/>
    <w:rsid w:val="00810E82"/>
    <w:rsid w:val="0084423F"/>
    <w:rsid w:val="00847CA5"/>
    <w:rsid w:val="00855A68"/>
    <w:rsid w:val="00865343"/>
    <w:rsid w:val="00886041"/>
    <w:rsid w:val="00896584"/>
    <w:rsid w:val="008A2F0A"/>
    <w:rsid w:val="008C2F30"/>
    <w:rsid w:val="008D42F5"/>
    <w:rsid w:val="008E0857"/>
    <w:rsid w:val="0092601A"/>
    <w:rsid w:val="00933234"/>
    <w:rsid w:val="00943C9D"/>
    <w:rsid w:val="009669D3"/>
    <w:rsid w:val="00972CD6"/>
    <w:rsid w:val="009F0284"/>
    <w:rsid w:val="00A0730C"/>
    <w:rsid w:val="00A16EC8"/>
    <w:rsid w:val="00A51610"/>
    <w:rsid w:val="00A70A1E"/>
    <w:rsid w:val="00A81385"/>
    <w:rsid w:val="00A904E3"/>
    <w:rsid w:val="00AB3D40"/>
    <w:rsid w:val="00AB6EAF"/>
    <w:rsid w:val="00AC0C40"/>
    <w:rsid w:val="00B0105E"/>
    <w:rsid w:val="00B14A81"/>
    <w:rsid w:val="00B22FDA"/>
    <w:rsid w:val="00B355EB"/>
    <w:rsid w:val="00B41BC0"/>
    <w:rsid w:val="00B66DF7"/>
    <w:rsid w:val="00B85AE8"/>
    <w:rsid w:val="00BA6F23"/>
    <w:rsid w:val="00BB1A18"/>
    <w:rsid w:val="00BB7870"/>
    <w:rsid w:val="00BE2F4F"/>
    <w:rsid w:val="00C24669"/>
    <w:rsid w:val="00C35154"/>
    <w:rsid w:val="00C41E72"/>
    <w:rsid w:val="00C575A2"/>
    <w:rsid w:val="00C72256"/>
    <w:rsid w:val="00C74D1B"/>
    <w:rsid w:val="00C76008"/>
    <w:rsid w:val="00CB04B4"/>
    <w:rsid w:val="00CE1CCE"/>
    <w:rsid w:val="00D01A20"/>
    <w:rsid w:val="00D24226"/>
    <w:rsid w:val="00D25575"/>
    <w:rsid w:val="00D27EA4"/>
    <w:rsid w:val="00D3126A"/>
    <w:rsid w:val="00D31AFA"/>
    <w:rsid w:val="00D36007"/>
    <w:rsid w:val="00D42B6C"/>
    <w:rsid w:val="00D57494"/>
    <w:rsid w:val="00D623FF"/>
    <w:rsid w:val="00D6461B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E0152B"/>
    <w:rsid w:val="00E15CD8"/>
    <w:rsid w:val="00E21B4F"/>
    <w:rsid w:val="00E25BC8"/>
    <w:rsid w:val="00E471E1"/>
    <w:rsid w:val="00E56B07"/>
    <w:rsid w:val="00E839A5"/>
    <w:rsid w:val="00E9065A"/>
    <w:rsid w:val="00EB2664"/>
    <w:rsid w:val="00EF267C"/>
    <w:rsid w:val="00F0228E"/>
    <w:rsid w:val="00F17CA3"/>
    <w:rsid w:val="00F5226B"/>
    <w:rsid w:val="00F55765"/>
    <w:rsid w:val="00F56B2F"/>
    <w:rsid w:val="00F975E0"/>
    <w:rsid w:val="00FA7EDF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customStyle="1" w:styleId="4">
    <w:name w:val="Заг4"/>
    <w:basedOn w:val="Normal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">
    <w:name w:val="Заг3"/>
    <w:basedOn w:val="4"/>
    <w:rPr>
      <w:b w:val="0"/>
      <w:bCs w:val="0"/>
      <w:i/>
      <w:iCs/>
    </w:rPr>
  </w:style>
  <w:style w:type="paragraph" w:customStyle="1" w:styleId="a">
    <w:name w:val="Приложение"/>
    <w:basedOn w:val="Normal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caps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pPr>
      <w:ind w:firstLine="708"/>
      <w:jc w:val="both"/>
    </w:pPr>
    <w:rPr>
      <w:sz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pPr>
      <w:jc w:val="both"/>
    </w:pPr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14A81"/>
    <w:rPr>
      <w:rFonts w:cs="Times New Roman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FootnoteReference">
    <w:name w:val="footnote reference"/>
    <w:basedOn w:val="DefaultParagraphFont"/>
    <w:uiPriority w:val="99"/>
    <w:unhideWhenUsed/>
    <w:rsid w:val="0057209F"/>
    <w:rPr>
      <w:vertAlign w:val="superscript"/>
    </w:rPr>
  </w:style>
  <w:style w:type="paragraph" w:customStyle="1" w:styleId="10">
    <w:name w:val="Текст1"/>
    <w:basedOn w:val="Normal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NoSpacing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DefaultParagraphFont"/>
    <w:rsid w:val="0057209F"/>
    <w:rPr>
      <w:rFonts w:cs="Times New Roman"/>
    </w:rPr>
  </w:style>
  <w:style w:type="paragraph" w:customStyle="1" w:styleId="p1">
    <w:name w:val="p1"/>
    <w:basedOn w:val="Normal"/>
    <w:rsid w:val="00111BF1"/>
    <w:rPr>
      <w:rFonts w:ascii="Helvetica" w:hAnsi="Helvetica"/>
      <w:color w:val="000000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896584"/>
    <w:rPr>
      <w:color w:val="605E5C"/>
      <w:shd w:val="clear" w:color="auto" w:fill="E1DFDD"/>
    </w:rPr>
  </w:style>
  <w:style w:type="character" w:customStyle="1" w:styleId="CharAttribute2">
    <w:name w:val="CharAttribute2"/>
    <w:rsid w:val="00397D1E"/>
    <w:rPr>
      <w:rFonts w:ascii="Batang" w:eastAsia="Times New Roman" w:hAnsi="Batang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9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ranfil@jin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ПОЛОЖЕНИЕ</vt:lpstr>
      <vt:lpstr>ПОЛОЖЕНИЕ</vt:lpstr>
    </vt:vector>
  </TitlesOfParts>
  <Company>dvadi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Karanfil</cp:lastModifiedBy>
  <cp:revision>2</cp:revision>
  <cp:lastPrinted>2005-10-17T04:02:00Z</cp:lastPrinted>
  <dcterms:created xsi:type="dcterms:W3CDTF">2026-05-21T14:33:00Z</dcterms:created>
  <dcterms:modified xsi:type="dcterms:W3CDTF">2026-05-21T14:33:00Z</dcterms:modified>
</cp:coreProperties>
</file>