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2A" w14:textId="0831260D" w:rsidR="00507CDB" w:rsidRPr="00CB4C89" w:rsidRDefault="00507CDB" w:rsidP="00507CD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Влияние тензорных сил на </w:t>
      </w:r>
      <w:r w:rsidR="009E6D29">
        <w:rPr>
          <w:rFonts w:ascii="Times New Roman" w:hAnsi="Times New Roman" w:cs="Times New Roman"/>
          <w:b/>
          <w:sz w:val="28"/>
          <w:szCs w:val="28"/>
        </w:rPr>
        <w:t>нейтронную шубу в изотопах олова</w:t>
      </w:r>
    </w:p>
    <w:p w14:paraId="071B3069" w14:textId="3E7708BB" w:rsidR="00507CDB" w:rsidRPr="00116D97" w:rsidRDefault="00507CDB" w:rsidP="009E6D2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Р. Хайруллин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С. В. Сидоров</w:t>
      </w:r>
      <w:r>
        <w:rPr>
          <w:rFonts w:ascii="Times New Roman" w:hAnsi="Times New Roman" w:cs="Times New Roman"/>
          <w:vertAlign w:val="superscript"/>
        </w:rPr>
        <w:t>2</w:t>
      </w:r>
      <w:r w:rsidR="009E6D29">
        <w:rPr>
          <w:rFonts w:ascii="Times New Roman" w:hAnsi="Times New Roman" w:cs="Times New Roman"/>
        </w:rPr>
        <w:t xml:space="preserve">, </w:t>
      </w:r>
      <w:r w:rsidR="009E6D29">
        <w:rPr>
          <w:rFonts w:ascii="Times New Roman" w:hAnsi="Times New Roman" w:cs="Times New Roman"/>
        </w:rPr>
        <w:t>Т</w:t>
      </w:r>
      <w:r w:rsidR="009E6D29">
        <w:rPr>
          <w:rFonts w:ascii="Times New Roman" w:hAnsi="Times New Roman" w:cs="Times New Roman"/>
        </w:rPr>
        <w:t xml:space="preserve">. </w:t>
      </w:r>
      <w:r w:rsidR="009E6D29">
        <w:rPr>
          <w:rFonts w:ascii="Times New Roman" w:hAnsi="Times New Roman" w:cs="Times New Roman"/>
        </w:rPr>
        <w:t>Ю</w:t>
      </w:r>
      <w:r w:rsidR="009E6D29">
        <w:rPr>
          <w:rFonts w:ascii="Times New Roman" w:hAnsi="Times New Roman" w:cs="Times New Roman"/>
        </w:rPr>
        <w:t xml:space="preserve">. </w:t>
      </w:r>
      <w:r w:rsidR="009E6D29">
        <w:rPr>
          <w:rFonts w:ascii="Times New Roman" w:hAnsi="Times New Roman" w:cs="Times New Roman"/>
        </w:rPr>
        <w:t>Третьякова</w:t>
      </w:r>
      <w:r w:rsidR="009E6D29">
        <w:rPr>
          <w:rFonts w:ascii="Times New Roman" w:hAnsi="Times New Roman" w:cs="Times New Roman"/>
          <w:vertAlign w:val="superscript"/>
        </w:rPr>
        <w:t>1</w:t>
      </w:r>
    </w:p>
    <w:p w14:paraId="391CEFCE" w14:textId="77777777" w:rsidR="00507CDB" w:rsidRDefault="00507CDB" w:rsidP="00507CD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br/>
        <w:t>физический факультет, Москва, Россия,</w:t>
      </w:r>
    </w:p>
    <w:p w14:paraId="26288C80" w14:textId="234C61A1" w:rsidR="00507CDB" w:rsidRPr="00CB4C89" w:rsidRDefault="00507CDB" w:rsidP="00507CD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4D7FAF">
        <w:rPr>
          <w:rFonts w:ascii="Times New Roman" w:hAnsi="Times New Roman" w:cs="Times New Roman"/>
          <w:i/>
          <w:iCs/>
          <w:sz w:val="22"/>
          <w:szCs w:val="22"/>
          <w:lang w:val="pl-PL"/>
        </w:rPr>
        <w:t>Научно-исследовательский институт ядерной физики имени Д.В. Скобельцына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, Москва, Россия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0EE27D82" w14:textId="3EFA4834" w:rsidR="00507CDB" w:rsidRDefault="00507CDB" w:rsidP="00185C1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CB4C8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33633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E33633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E3363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5" w:history="1">
        <w:r w:rsidR="004559F2" w:rsidRPr="003D2AD1">
          <w:rPr>
            <w:rStyle w:val="ad"/>
            <w:rFonts w:ascii="Times New Roman" w:hAnsi="Times New Roman" w:cs="Times New Roman"/>
            <w:sz w:val="22"/>
            <w:szCs w:val="22"/>
            <w:lang w:val="en-US"/>
          </w:rPr>
          <w:t>hayrullinAR@my.msu.ru</w:t>
        </w:r>
      </w:hyperlink>
    </w:p>
    <w:p w14:paraId="00D1E167" w14:textId="77777777" w:rsidR="00185C1A" w:rsidRPr="00CA64AD" w:rsidRDefault="00185C1A" w:rsidP="00185C1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14:paraId="20867C14" w14:textId="6D6281A3" w:rsidR="00084FCC" w:rsidRDefault="00507CDB" w:rsidP="00EC0DA5">
      <w:pPr>
        <w:ind w:firstLine="708"/>
        <w:jc w:val="both"/>
        <w:rPr>
          <w:rFonts w:ascii="Times New Roman" w:hAnsi="Times New Roman" w:cs="Times New Roman"/>
          <w:color w:val="222222"/>
          <w:spacing w:val="-2"/>
        </w:rPr>
      </w:pPr>
      <w:r>
        <w:rPr>
          <w:rFonts w:ascii="Times New Roman" w:hAnsi="Times New Roman" w:cs="Times New Roman"/>
          <w:color w:val="222222"/>
          <w:spacing w:val="-2"/>
        </w:rPr>
        <w:t>Одним из наиболее успешных подходов к описанию микроскопической структуры ядра является метод Хартри-Фока с взаимодействием Скирма</w:t>
      </w:r>
      <w:r w:rsidR="00A4464C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>(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SHF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>)</w:t>
      </w:r>
      <w:r>
        <w:rPr>
          <w:rFonts w:ascii="Times New Roman" w:hAnsi="Times New Roman" w:cs="Times New Roman"/>
          <w:color w:val="222222"/>
          <w:spacing w:val="-2"/>
        </w:rPr>
        <w:t xml:space="preserve"> </w:t>
      </w:r>
      <w:r w:rsidRPr="00507CDB">
        <w:rPr>
          <w:rFonts w:ascii="Times New Roman" w:hAnsi="Times New Roman" w:cs="Times New Roman"/>
          <w:color w:val="222222"/>
          <w:spacing w:val="-2"/>
        </w:rPr>
        <w:t>[1]</w:t>
      </w:r>
      <w:r>
        <w:rPr>
          <w:rFonts w:ascii="Times New Roman" w:hAnsi="Times New Roman" w:cs="Times New Roman"/>
          <w:color w:val="222222"/>
          <w:spacing w:val="-2"/>
        </w:rPr>
        <w:t xml:space="preserve">. </w:t>
      </w:r>
      <w:r w:rsidR="00084FCC">
        <w:rPr>
          <w:rFonts w:ascii="Times New Roman" w:hAnsi="Times New Roman" w:cs="Times New Roman"/>
          <w:color w:val="222222"/>
          <w:spacing w:val="-2"/>
        </w:rPr>
        <w:t>Сильной стороной</w:t>
      </w:r>
      <w:r>
        <w:rPr>
          <w:rFonts w:ascii="Times New Roman" w:hAnsi="Times New Roman" w:cs="Times New Roman"/>
          <w:color w:val="222222"/>
          <w:spacing w:val="-2"/>
        </w:rPr>
        <w:t xml:space="preserve"> </w:t>
      </w:r>
      <w:r w:rsidR="00084FCC">
        <w:rPr>
          <w:rFonts w:ascii="Times New Roman" w:hAnsi="Times New Roman" w:cs="Times New Roman"/>
          <w:color w:val="222222"/>
          <w:spacing w:val="-2"/>
        </w:rPr>
        <w:t>данного подхода</w:t>
      </w:r>
      <w:r>
        <w:rPr>
          <w:rFonts w:ascii="Times New Roman" w:hAnsi="Times New Roman" w:cs="Times New Roman"/>
          <w:color w:val="222222"/>
          <w:spacing w:val="-2"/>
        </w:rPr>
        <w:t xml:space="preserve"> является возможность отдельного включения тех или иных членов взаимодействи</w:t>
      </w:r>
      <w:r w:rsidR="00E1618E">
        <w:rPr>
          <w:rFonts w:ascii="Times New Roman" w:hAnsi="Times New Roman" w:cs="Times New Roman"/>
          <w:color w:val="222222"/>
          <w:spacing w:val="-2"/>
        </w:rPr>
        <w:t>я, что позволяет</w:t>
      </w:r>
      <w:r>
        <w:rPr>
          <w:rFonts w:ascii="Times New Roman" w:hAnsi="Times New Roman" w:cs="Times New Roman"/>
          <w:color w:val="222222"/>
          <w:spacing w:val="-2"/>
        </w:rPr>
        <w:t xml:space="preserve"> изу</w:t>
      </w:r>
      <w:r w:rsidR="00E1618E">
        <w:rPr>
          <w:rFonts w:ascii="Times New Roman" w:hAnsi="Times New Roman" w:cs="Times New Roman"/>
          <w:color w:val="222222"/>
          <w:spacing w:val="-2"/>
        </w:rPr>
        <w:t>чать</w:t>
      </w:r>
      <w:r>
        <w:rPr>
          <w:rFonts w:ascii="Times New Roman" w:hAnsi="Times New Roman" w:cs="Times New Roman"/>
          <w:color w:val="222222"/>
          <w:spacing w:val="-2"/>
        </w:rPr>
        <w:t xml:space="preserve"> их влияни</w:t>
      </w:r>
      <w:r w:rsidR="00E1618E">
        <w:rPr>
          <w:rFonts w:ascii="Times New Roman" w:hAnsi="Times New Roman" w:cs="Times New Roman"/>
          <w:color w:val="222222"/>
          <w:spacing w:val="-2"/>
        </w:rPr>
        <w:t>е</w:t>
      </w:r>
      <w:r>
        <w:rPr>
          <w:rFonts w:ascii="Times New Roman" w:hAnsi="Times New Roman" w:cs="Times New Roman"/>
          <w:color w:val="222222"/>
          <w:spacing w:val="-2"/>
        </w:rPr>
        <w:t xml:space="preserve"> на структуру ядра.</w:t>
      </w:r>
      <w:r w:rsidR="00084FCC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A47393">
        <w:rPr>
          <w:rFonts w:ascii="Times New Roman" w:hAnsi="Times New Roman" w:cs="Times New Roman"/>
          <w:color w:val="222222"/>
          <w:spacing w:val="-2"/>
        </w:rPr>
        <w:t xml:space="preserve">Исследования в области изотопов с большим избытком протонов или нейтронов указывают на важность учета тензорных сил при описании эволюции одночастичной структуры ядер. В частности, поскольку тензорное взаимодействие оказывает влияние на спин-орбитальное расщепление нуклонных уровней, его присутствие может сказываться на образовании нетипичных магических чисел вдали от линии стабильности. </w:t>
      </w:r>
      <w:r w:rsidR="00EB23C3">
        <w:rPr>
          <w:rFonts w:ascii="Times New Roman" w:hAnsi="Times New Roman" w:cs="Times New Roman"/>
          <w:color w:val="222222"/>
          <w:spacing w:val="-2"/>
        </w:rPr>
        <w:t>Среди важных характеристик, которые потенциально могут зависеть от характера тензорных сил, можно также выделить величину нейтронной шубы. Последствия такого воздействия могут проявляться</w:t>
      </w:r>
      <w:r w:rsidR="00A4464C">
        <w:rPr>
          <w:rFonts w:ascii="Times New Roman" w:hAnsi="Times New Roman" w:cs="Times New Roman"/>
          <w:color w:val="222222"/>
          <w:spacing w:val="-2"/>
        </w:rPr>
        <w:t>, например, в структуре коллективных возбуждений, таких как гигантские дипольные резонансы.</w:t>
      </w:r>
    </w:p>
    <w:p w14:paraId="75B15966" w14:textId="148AE7DF" w:rsidR="006661A9" w:rsidRPr="00602CB2" w:rsidRDefault="00EB23C3" w:rsidP="00602CB2">
      <w:pPr>
        <w:ind w:firstLine="708"/>
        <w:jc w:val="both"/>
        <w:rPr>
          <w:rFonts w:ascii="Times New Roman" w:hAnsi="Times New Roman" w:cs="Times New Roman"/>
          <w:color w:val="222222"/>
          <w:spacing w:val="-2"/>
        </w:rPr>
      </w:pPr>
      <w:r>
        <w:rPr>
          <w:rFonts w:ascii="Times New Roman" w:hAnsi="Times New Roman" w:cs="Times New Roman"/>
          <w:color w:val="222222"/>
          <w:spacing w:val="-2"/>
        </w:rPr>
        <w:t>Настоящая работа посвящена</w:t>
      </w:r>
      <w:r w:rsidR="00A4464C">
        <w:rPr>
          <w:rFonts w:ascii="Times New Roman" w:hAnsi="Times New Roman" w:cs="Times New Roman"/>
          <w:color w:val="222222"/>
          <w:spacing w:val="-2"/>
        </w:rPr>
        <w:t xml:space="preserve"> изучению влияния тензорных сил на характеристики изотопов олова 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>(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Z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 xml:space="preserve"> = 50)</w:t>
      </w:r>
      <w:r w:rsidR="00A4464C">
        <w:rPr>
          <w:rFonts w:ascii="Times New Roman" w:hAnsi="Times New Roman" w:cs="Times New Roman"/>
          <w:color w:val="222222"/>
          <w:spacing w:val="-2"/>
        </w:rPr>
        <w:t>. Расчеты проводились в подходе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SHF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A4464C">
        <w:rPr>
          <w:rFonts w:ascii="Times New Roman" w:hAnsi="Times New Roman" w:cs="Times New Roman"/>
          <w:color w:val="222222"/>
          <w:spacing w:val="-2"/>
        </w:rPr>
        <w:t xml:space="preserve">при учете парных корреляций в модели Бардина-Купера-Шриффера 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>(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BCS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>)</w:t>
      </w:r>
      <w:r w:rsidR="00A4464C">
        <w:rPr>
          <w:rFonts w:ascii="Times New Roman" w:hAnsi="Times New Roman" w:cs="Times New Roman"/>
          <w:color w:val="222222"/>
          <w:spacing w:val="-2"/>
        </w:rPr>
        <w:t xml:space="preserve">. Ряд наиболее популярных взаимодействий 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>(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SLy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 xml:space="preserve">4, 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SLy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 xml:space="preserve">5, 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SGII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 xml:space="preserve">, </w:t>
      </w:r>
      <w:r w:rsidR="00A4464C">
        <w:rPr>
          <w:rFonts w:ascii="Times New Roman" w:hAnsi="Times New Roman" w:cs="Times New Roman"/>
          <w:color w:val="222222"/>
          <w:spacing w:val="-2"/>
          <w:lang w:val="en-US"/>
        </w:rPr>
        <w:t>SAMi</w:t>
      </w:r>
      <w:r w:rsidR="00A4464C" w:rsidRPr="00A4464C">
        <w:rPr>
          <w:rFonts w:ascii="Times New Roman" w:hAnsi="Times New Roman" w:cs="Times New Roman"/>
          <w:color w:val="222222"/>
          <w:spacing w:val="-2"/>
        </w:rPr>
        <w:t xml:space="preserve">) </w:t>
      </w:r>
      <w:r w:rsidR="00A4464C">
        <w:rPr>
          <w:rFonts w:ascii="Times New Roman" w:hAnsi="Times New Roman" w:cs="Times New Roman"/>
          <w:color w:val="222222"/>
          <w:spacing w:val="-2"/>
        </w:rPr>
        <w:t>и их вариации, включающие тензорные силы, использованы для изучения влияния тензорных сил на одночастичную структуру изотопов олова.</w:t>
      </w:r>
      <w:r w:rsidR="00602CB2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2E5E02">
        <w:rPr>
          <w:rFonts w:ascii="Times New Roman" w:hAnsi="Times New Roman" w:cs="Times New Roman"/>
          <w:color w:val="222222"/>
          <w:spacing w:val="-2"/>
        </w:rPr>
        <w:t>Показано, что выбор тензорных сил оказывает существенное влияние на динамику заселения одночастичных состояний, что может сказываться на величине нейтронной шубы.</w:t>
      </w:r>
    </w:p>
    <w:sectPr w:rsidR="006661A9" w:rsidRPr="00602CB2" w:rsidSect="00CA64AD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1"/>
    <w:rsid w:val="0004445C"/>
    <w:rsid w:val="00052C21"/>
    <w:rsid w:val="00071324"/>
    <w:rsid w:val="00084FCC"/>
    <w:rsid w:val="000F0D75"/>
    <w:rsid w:val="000F6810"/>
    <w:rsid w:val="00106D42"/>
    <w:rsid w:val="00110CF5"/>
    <w:rsid w:val="00145CB6"/>
    <w:rsid w:val="0018279C"/>
    <w:rsid w:val="00185C1A"/>
    <w:rsid w:val="00212C5F"/>
    <w:rsid w:val="002826E6"/>
    <w:rsid w:val="002E5E02"/>
    <w:rsid w:val="003051B5"/>
    <w:rsid w:val="00317936"/>
    <w:rsid w:val="00351DDD"/>
    <w:rsid w:val="00354740"/>
    <w:rsid w:val="0038668F"/>
    <w:rsid w:val="00395627"/>
    <w:rsid w:val="003D281D"/>
    <w:rsid w:val="004559F2"/>
    <w:rsid w:val="004B6866"/>
    <w:rsid w:val="004C2959"/>
    <w:rsid w:val="00507CDB"/>
    <w:rsid w:val="00574F4B"/>
    <w:rsid w:val="005F5D4B"/>
    <w:rsid w:val="00602CB2"/>
    <w:rsid w:val="006661A9"/>
    <w:rsid w:val="006E09B9"/>
    <w:rsid w:val="0071388B"/>
    <w:rsid w:val="007B2827"/>
    <w:rsid w:val="007F0041"/>
    <w:rsid w:val="007F695D"/>
    <w:rsid w:val="00995DB6"/>
    <w:rsid w:val="009E6D29"/>
    <w:rsid w:val="00A041A0"/>
    <w:rsid w:val="00A2503D"/>
    <w:rsid w:val="00A31C60"/>
    <w:rsid w:val="00A42101"/>
    <w:rsid w:val="00A4464C"/>
    <w:rsid w:val="00A47393"/>
    <w:rsid w:val="00A90F04"/>
    <w:rsid w:val="00AE1A69"/>
    <w:rsid w:val="00B96214"/>
    <w:rsid w:val="00BC4C21"/>
    <w:rsid w:val="00BE716A"/>
    <w:rsid w:val="00CA64AD"/>
    <w:rsid w:val="00D463BD"/>
    <w:rsid w:val="00DF62B3"/>
    <w:rsid w:val="00E01A2C"/>
    <w:rsid w:val="00E01AAF"/>
    <w:rsid w:val="00E13D45"/>
    <w:rsid w:val="00E14D37"/>
    <w:rsid w:val="00E1618E"/>
    <w:rsid w:val="00E33633"/>
    <w:rsid w:val="00EB17C1"/>
    <w:rsid w:val="00EB23C3"/>
    <w:rsid w:val="00EC0DA5"/>
    <w:rsid w:val="00F554C7"/>
    <w:rsid w:val="00F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8305"/>
  <w15:chartTrackingRefBased/>
  <w15:docId w15:val="{A0AD6567-CBBA-4EAC-B4F8-08907433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CDB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0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0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0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0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0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0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0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0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0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0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041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DF62B3"/>
    <w:rPr>
      <w:color w:val="666666"/>
    </w:rPr>
  </w:style>
  <w:style w:type="character" w:styleId="ad">
    <w:name w:val="Hyperlink"/>
    <w:basedOn w:val="a0"/>
    <w:uiPriority w:val="99"/>
    <w:unhideWhenUsed/>
    <w:rsid w:val="00185C1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ayrullinAR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0ABA-2935-4594-A2D9-C5108841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2026-05-25T16:28:00Z</dcterms:created>
  <dcterms:modified xsi:type="dcterms:W3CDTF">2026-05-28T15:38:00Z</dcterms:modified>
</cp:coreProperties>
</file>