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15E" w:rsidRDefault="00971030">
      <w:pPr>
        <w:jc w:val="center"/>
      </w:pPr>
      <w:r>
        <w:rPr>
          <w:b/>
          <w:bCs/>
        </w:rPr>
        <w:t>ПРОВ</w:t>
      </w:r>
      <w:bookmarkStart w:id="0" w:name="_GoBack"/>
      <w:bookmarkEnd w:id="0"/>
      <w:r>
        <w:rPr>
          <w:b/>
          <w:bCs/>
        </w:rPr>
        <w:t xml:space="preserve">ЕРКА CVC-ГИПОТЕЗЫ И УНИТАРНОСТИ МАТРИЦЫ СКМ НА ОСНОВЕ АНАЛИЗА СКОРРЕКТИРОВАННЫХ ЗНАЧЕНИЙ </w:t>
      </w:r>
      <w:proofErr w:type="spellStart"/>
      <w:r>
        <w:rPr>
          <w:b/>
          <w:bCs/>
          <w:i/>
          <w:iCs/>
        </w:rPr>
        <w:t>Ft</w:t>
      </w:r>
      <w:proofErr w:type="spellEnd"/>
      <w:r>
        <w:rPr>
          <w:b/>
          <w:bCs/>
        </w:rPr>
        <w:t xml:space="preserve"> ДЛЯ СВЕРХРАЗРЕШЁННЫХ β‑ПЕРЕХОДОВ</w:t>
      </w:r>
    </w:p>
    <w:p w:rsidR="002D315E" w:rsidRDefault="002D315E">
      <w:pPr>
        <w:jc w:val="center"/>
      </w:pPr>
    </w:p>
    <w:p w:rsidR="002D315E" w:rsidRDefault="00971030">
      <w:pPr>
        <w:jc w:val="center"/>
      </w:pPr>
      <w:r>
        <w:rPr>
          <w:b/>
          <w:bCs/>
          <w:sz w:val="22"/>
          <w:szCs w:val="22"/>
        </w:rPr>
        <w:t>А. К. Власников</w:t>
      </w:r>
      <w:r>
        <w:rPr>
          <w:b/>
          <w:bCs/>
          <w:sz w:val="22"/>
          <w:szCs w:val="22"/>
          <w:vertAlign w:val="superscript"/>
        </w:rPr>
        <w:t>1</w:t>
      </w:r>
      <w:r>
        <w:rPr>
          <w:b/>
          <w:bCs/>
          <w:sz w:val="22"/>
          <w:szCs w:val="22"/>
        </w:rPr>
        <w:t>, И. С. Гусев</w:t>
      </w:r>
      <w:r>
        <w:rPr>
          <w:b/>
          <w:bCs/>
          <w:sz w:val="22"/>
          <w:szCs w:val="22"/>
          <w:vertAlign w:val="superscript"/>
        </w:rPr>
        <w:t>2</w:t>
      </w:r>
    </w:p>
    <w:p w:rsidR="002D315E" w:rsidRDefault="002D315E">
      <w:pPr>
        <w:jc w:val="center"/>
      </w:pPr>
    </w:p>
    <w:p w:rsidR="002D315E" w:rsidRDefault="00971030">
      <w:pPr>
        <w:jc w:val="center"/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Санкт-Петербургский государственный университет, Россия</w:t>
      </w:r>
    </w:p>
    <w:p w:rsidR="002D315E" w:rsidRDefault="00971030">
      <w:pPr>
        <w:jc w:val="center"/>
      </w:pP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Национальный исследовательский ядерный университет «МИФИ», Россия</w:t>
      </w:r>
    </w:p>
    <w:p w:rsidR="002D315E" w:rsidRDefault="00971030">
      <w:pPr>
        <w:spacing w:after="120"/>
        <w:jc w:val="center"/>
      </w:pPr>
      <w:r>
        <w:rPr>
          <w:sz w:val="22"/>
          <w:szCs w:val="22"/>
        </w:rPr>
        <w:t>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5" w:history="1">
        <w:r w:rsidR="00D04A98" w:rsidRPr="00C12ED1">
          <w:rPr>
            <w:rStyle w:val="a5"/>
            <w:color w:val="auto"/>
            <w:sz w:val="22"/>
            <w:szCs w:val="22"/>
            <w:u w:val="none"/>
          </w:rPr>
          <w:t>a.vlasnikov@spbu.ru</w:t>
        </w:r>
      </w:hyperlink>
      <w:r w:rsidR="00D04A98">
        <w:rPr>
          <w:sz w:val="22"/>
          <w:szCs w:val="22"/>
        </w:rPr>
        <w:t xml:space="preserve">; </w:t>
      </w:r>
      <w:r>
        <w:rPr>
          <w:sz w:val="22"/>
          <w:szCs w:val="22"/>
        </w:rPr>
        <w:t>ilya_ilua_gusev@mail.ru</w:t>
      </w:r>
    </w:p>
    <w:p w:rsidR="002D315E" w:rsidRDefault="00971030">
      <w:pPr>
        <w:ind w:firstLine="425"/>
        <w:jc w:val="both"/>
      </w:pPr>
      <w:proofErr w:type="spellStart"/>
      <w:r>
        <w:t>Сверхразрешённые</w:t>
      </w:r>
      <w:proofErr w:type="spellEnd"/>
      <w:r>
        <w:t xml:space="preserve"> β-переходы Ферми между изобар-аналоговыми состояниями со спином и чётностью 0</w:t>
      </w:r>
      <w:r>
        <w:rPr>
          <w:vertAlign w:val="superscript"/>
        </w:rPr>
        <w:t>+</w:t>
      </w:r>
      <w:r>
        <w:t xml:space="preserve"> при изоспине </w:t>
      </w:r>
      <w:r>
        <w:rPr>
          <w:i/>
          <w:iCs/>
        </w:rPr>
        <w:t>T</w:t>
      </w:r>
      <w:r>
        <w:t xml:space="preserve"> = 1 дают наиболее точное определение элемента </w:t>
      </w:r>
      <w:proofErr w:type="spellStart"/>
      <w:r>
        <w:rPr>
          <w:i/>
          <w:iCs/>
        </w:rPr>
        <w:t>V</w:t>
      </w:r>
      <w:r>
        <w:rPr>
          <w:i/>
          <w:iCs/>
          <w:vertAlign w:val="subscript"/>
        </w:rPr>
        <w:t>ud</w:t>
      </w:r>
      <w:proofErr w:type="spellEnd"/>
      <w:r>
        <w:t xml:space="preserve"> матрицы </w:t>
      </w:r>
      <w:proofErr w:type="spellStart"/>
      <w:r>
        <w:t>Кабиббо</w:t>
      </w:r>
      <w:proofErr w:type="spellEnd"/>
      <w:r>
        <w:t>–</w:t>
      </w:r>
      <w:proofErr w:type="spellStart"/>
      <w:r>
        <w:t>Кобаяши</w:t>
      </w:r>
      <w:proofErr w:type="spellEnd"/>
      <w:r>
        <w:t>–</w:t>
      </w:r>
      <w:proofErr w:type="spellStart"/>
      <w:r>
        <w:t>Маскавы</w:t>
      </w:r>
      <w:proofErr w:type="spellEnd"/>
      <w:r>
        <w:t xml:space="preserve"> (СКМ) и обеспечивают строгую проверку гипотезы сохранения векторного тока (CVC), согласно которой векторная константа слабого адронного взаимодействия </w:t>
      </w:r>
      <w:r>
        <w:rPr>
          <w:i/>
          <w:iCs/>
        </w:rPr>
        <w:t>G</w:t>
      </w:r>
      <w:r>
        <w:rPr>
          <w:i/>
          <w:iCs/>
          <w:vertAlign w:val="subscript"/>
        </w:rPr>
        <w:t>V</w:t>
      </w:r>
      <w:r>
        <w:t xml:space="preserve"> не </w:t>
      </w:r>
      <w:proofErr w:type="spellStart"/>
      <w:r>
        <w:t>перенормируется</w:t>
      </w:r>
      <w:proofErr w:type="spellEnd"/>
      <w:r>
        <w:t xml:space="preserve"> ядерной средой. Современные оценки демонстрируют отклонение от унитарности первой строки СКМ на уровне ~2σ («аномалия угла </w:t>
      </w:r>
      <w:proofErr w:type="spellStart"/>
      <w:r>
        <w:t>Кабиббо</w:t>
      </w:r>
      <w:proofErr w:type="spellEnd"/>
      <w:r>
        <w:t xml:space="preserve">» [1]), значимость которого критически зависит от точности радиационных поправок и поправок на нарушение </w:t>
      </w:r>
      <w:proofErr w:type="spellStart"/>
      <w:r>
        <w:t>изоспиновой</w:t>
      </w:r>
      <w:proofErr w:type="spellEnd"/>
      <w:r>
        <w:t xml:space="preserve"> симметрии, что делает актуальным согласованный пересчёт ядерно-физических данных.</w:t>
      </w:r>
    </w:p>
    <w:p w:rsidR="002D315E" w:rsidRDefault="00971030">
      <w:pPr>
        <w:ind w:firstLine="425"/>
        <w:jc w:val="both"/>
      </w:pPr>
      <w:r>
        <w:t>В настоящей работе впервые применена усовершенствованная методика [2], основанная на χ</w:t>
      </w:r>
      <w:r>
        <w:rPr>
          <w:vertAlign w:val="superscript"/>
        </w:rPr>
        <w:t>2</w:t>
      </w:r>
      <w:r>
        <w:t xml:space="preserve">-анализе согласованности данных относительно взвешенного и невзвешенного среднего и </w:t>
      </w:r>
      <w:r w:rsidR="0080222F">
        <w:t>пригодная</w:t>
      </w:r>
      <w:r>
        <w:t xml:space="preserve"> при малом числе измерений, для систематической переоценки периодов полураспада </w:t>
      </w:r>
      <m:oMath>
        <m:sSub>
          <m:sSubPr>
            <m:ctrlPr>
              <w:rPr>
                <w:rFonts w:ascii="Cambria Math" w:hAnsi="Cambria Math"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1/2</m:t>
            </m:r>
          </m:sub>
        </m:sSub>
      </m:oMath>
      <w:r w:rsidRPr="00513291">
        <w:t xml:space="preserve"> </w:t>
      </w:r>
      <w:r>
        <w:t xml:space="preserve">и коэффициентов ветвления </w:t>
      </w:r>
      <w:r>
        <w:rPr>
          <w:i/>
          <w:iCs/>
        </w:rPr>
        <w:t>BR</w:t>
      </w:r>
      <w:r>
        <w:t xml:space="preserve"> для 23 </w:t>
      </w:r>
      <w:proofErr w:type="spellStart"/>
      <w:r>
        <w:t>сверхразрешённых</w:t>
      </w:r>
      <w:proofErr w:type="spellEnd"/>
      <w:r>
        <w:t xml:space="preserve"> 0</w:t>
      </w:r>
      <w:r>
        <w:rPr>
          <w:vertAlign w:val="superscript"/>
        </w:rPr>
        <w:t>+</w:t>
      </w:r>
      <w:r>
        <w:t>→0</w:t>
      </w:r>
      <w:r>
        <w:rPr>
          <w:vertAlign w:val="superscript"/>
        </w:rPr>
        <w:t>+</w:t>
      </w:r>
      <w:r>
        <w:t xml:space="preserve"> β-переходов. Парциальный период полураспада </w:t>
      </w:r>
      <w:r w:rsidR="00D41A01">
        <w:rPr>
          <w:i/>
          <w:iCs/>
        </w:rPr>
        <w:t xml:space="preserve">t </w:t>
      </w:r>
      <w:r>
        <w:t>определяется как</w:t>
      </w:r>
    </w:p>
    <w:p w:rsidR="004508F2" w:rsidRDefault="004508F2">
      <w:pPr>
        <w:spacing w:before="60" w:after="60"/>
        <w:jc w:val="center"/>
      </w:pPr>
      <m:oMathPara>
        <m:oMath>
          <m:r>
            <w:rPr>
              <w:rFonts w:ascii="Cambria Math" w:hAnsi="Cambria Math"/>
              <w:color w:val="000000" w:themeColor="text1"/>
              <w:lang w:val="en-US"/>
            </w:rPr>
            <m:t>t=</m:t>
          </m:r>
          <m:f>
            <m:fPr>
              <m:type m:val="lin"/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1/2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EC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color w:val="000000" w:themeColor="text1"/>
                  <w:lang w:val="en-US"/>
                </w:rPr>
                <m:t>BR</m:t>
              </m:r>
            </m:den>
          </m:f>
          <m:r>
            <w:rPr>
              <w:rFonts w:ascii="Cambria Math" w:hAnsi="Cambria Math"/>
              <w:color w:val="000000" w:themeColor="text1"/>
              <w:lang w:val="en-US"/>
            </w:rPr>
            <m:t>,</m:t>
          </m:r>
        </m:oMath>
      </m:oMathPara>
    </w:p>
    <w:p w:rsidR="002D315E" w:rsidRDefault="00971030" w:rsidP="00971030">
      <w:pPr>
        <w:jc w:val="both"/>
      </w:pPr>
      <w:r>
        <w:t xml:space="preserve">где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  <w:lang w:val="en-US"/>
              </w:rPr>
              <m:t>EC</m:t>
            </m:r>
          </m:sub>
        </m:sSub>
      </m:oMath>
      <w:r>
        <w:t xml:space="preserve"> — относительная вероятность электронного захвата (отношение вероятностей электронного захвата и β</w:t>
      </w:r>
      <w:r>
        <w:rPr>
          <w:vertAlign w:val="superscript"/>
        </w:rPr>
        <w:t>+</w:t>
      </w:r>
      <w:r>
        <w:t xml:space="preserve">-распада), а «скорректированное» значение </w:t>
      </w:r>
      <m:oMath>
        <m:r>
          <w:rPr>
            <w:rFonts w:ascii="Cambria Math" w:hAnsi="Cambria Math"/>
            <w:color w:val="000000" w:themeColor="text1"/>
            <w:lang w:val="en-US"/>
          </w:rPr>
          <m:t>Ft</m:t>
        </m:r>
      </m:oMath>
      <w:r>
        <w:t>, постоянство которого служит критерием CVC-гипотезы, имеет вид</w:t>
      </w:r>
    </w:p>
    <w:p w:rsidR="0050413B" w:rsidRDefault="00481D71">
      <w:pPr>
        <w:spacing w:before="60" w:after="60"/>
        <w:jc w:val="center"/>
      </w:pPr>
      <m:oMathPara>
        <m:oMath>
          <m:r>
            <w:rPr>
              <w:rFonts w:ascii="Cambria Math" w:hAnsi="Cambria Math"/>
              <w:color w:val="000000" w:themeColor="text1"/>
              <w:lang w:val="en-US"/>
            </w:rPr>
            <m:t>Ft</m:t>
          </m:r>
          <m:r>
            <w:rPr>
              <w:rFonts w:ascii="Cambria Math" w:hAnsi="Cambria Math"/>
              <w:color w:val="000000" w:themeColor="text1"/>
              <w:lang w:val="en-US"/>
            </w:rPr>
            <m:t>=</m:t>
          </m:r>
          <w:bookmarkStart w:id="1" w:name="_Hlk230716796"/>
          <m:r>
            <w:rPr>
              <w:rFonts w:ascii="Cambria Math" w:hAnsi="Cambria Math"/>
              <w:color w:val="000000" w:themeColor="text1"/>
              <w:lang w:val="en-US"/>
            </w:rPr>
            <m:t>f</m:t>
          </m:r>
          <w:bookmarkEnd w:id="1"/>
          <m:r>
            <w:rPr>
              <w:rFonts w:ascii="Cambria Math" w:hAnsi="Cambria Math"/>
              <w:color w:val="000000" w:themeColor="text1"/>
              <w:lang w:val="en-US"/>
            </w:rPr>
            <m:t>t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lang w:val="en-US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en-US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'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R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lang w:val="en-US"/>
                </w:rPr>
                <m:t>1+</m:t>
              </m:r>
              <w:bookmarkStart w:id="2" w:name="_Hlk230716739"/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NS</m:t>
                  </m:r>
                </m:sub>
              </m:sSub>
              <w:bookmarkEnd w:id="2"/>
              <m:r>
                <w:rPr>
                  <w:rFonts w:ascii="Cambria Math" w:hAnsi="Cambria Math"/>
                  <w:color w:val="000000" w:themeColor="text1"/>
                  <w:lang w:val="en-US"/>
                </w:rPr>
                <m:t>-</m:t>
              </m:r>
              <w:bookmarkStart w:id="3" w:name="_Hlk230716774"/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C</m:t>
                  </m:r>
                </m:sub>
              </m:sSub>
              <w:bookmarkEnd w:id="3"/>
            </m:e>
          </m:d>
          <m:r>
            <w:rPr>
              <w:rFonts w:ascii="Cambria Math" w:hAnsi="Cambria Math"/>
              <w:color w:val="000000" w:themeColor="text1"/>
              <w:lang w:val="en-US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lang w:val="en-US"/>
                </w:rPr>
                <m:t>K</m:t>
              </m:r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2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V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2</m:t>
                      </m:r>
                    </m:sup>
                  </m:sSubSup>
                  <w:bookmarkStart w:id="4" w:name="_Hlk193132886"/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1+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△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R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V</m:t>
                          </m:r>
                        </m:sup>
                      </m:sSubSup>
                    </m:e>
                  </m:d>
                  <w:bookmarkEnd w:id="4"/>
                </m:e>
              </m:d>
            </m:den>
          </m:f>
          <m:r>
            <w:rPr>
              <w:rFonts w:ascii="Cambria Math" w:hAnsi="Cambria Math"/>
              <w:color w:val="000000" w:themeColor="text1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lang w:val="en-US"/>
            </w:rPr>
            <m:t>const,</m:t>
          </m:r>
        </m:oMath>
      </m:oMathPara>
    </w:p>
    <w:p w:rsidR="002D315E" w:rsidRDefault="00971030" w:rsidP="00971030">
      <w:pPr>
        <w:jc w:val="both"/>
      </w:pPr>
      <w:r>
        <w:t xml:space="preserve">где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lang w:val="en-US"/>
          </w:rPr>
          <m:t>δ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en-US"/>
              </w:rPr>
              <m:t>'</m:t>
            </m:r>
          </m:e>
          <m:sub>
            <m:r>
              <w:rPr>
                <w:rFonts w:ascii="Cambria Math" w:hAnsi="Cambria Math"/>
                <w:color w:val="000000" w:themeColor="text1"/>
                <w:lang w:val="en-US"/>
              </w:rPr>
              <m:t>R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en-US"/>
              </w:rPr>
              <m:t>δ</m:t>
            </m:r>
          </m:e>
          <m:sub>
            <m:r>
              <w:rPr>
                <w:rFonts w:ascii="Cambria Math" w:hAnsi="Cambria Math"/>
                <w:color w:val="000000" w:themeColor="text1"/>
                <w:lang w:val="en-US"/>
              </w:rPr>
              <m:t>NS</m:t>
            </m:r>
          </m:sub>
        </m:sSub>
      </m:oMath>
      <w: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lang w:val="en-US"/>
              </w:rPr>
              <m:t>△</m:t>
            </m:r>
          </m:e>
          <m:sub>
            <m:r>
              <w:rPr>
                <w:rFonts w:ascii="Cambria Math" w:hAnsi="Cambria Math"/>
                <w:color w:val="000000" w:themeColor="text1"/>
                <w:lang w:val="en-US"/>
              </w:rPr>
              <m:t>R</m:t>
            </m:r>
          </m:sub>
          <m:sup>
            <m:r>
              <w:rPr>
                <w:rFonts w:ascii="Cambria Math" w:hAnsi="Cambria Math"/>
                <w:color w:val="000000" w:themeColor="text1"/>
                <w:lang w:val="en-US"/>
              </w:rPr>
              <m:t>V</m:t>
            </m:r>
          </m:sup>
        </m:sSubSup>
      </m:oMath>
      <w:r>
        <w:t xml:space="preserve"> — радиационные поправки,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en-US"/>
              </w:rPr>
              <m:t>δ</m:t>
            </m:r>
          </m:e>
          <m:sub>
            <m:r>
              <w:rPr>
                <w:rFonts w:ascii="Cambria Math" w:hAnsi="Cambria Math"/>
                <w:color w:val="000000" w:themeColor="text1"/>
                <w:lang w:val="en-US"/>
              </w:rPr>
              <m:t>C</m:t>
            </m:r>
          </m:sub>
        </m:sSub>
      </m:oMath>
      <w:r>
        <w:t xml:space="preserve"> — поправка на нарушение изоспина, </w:t>
      </w:r>
      <w:r>
        <w:rPr>
          <w:i/>
          <w:iCs/>
        </w:rPr>
        <w:t>K</w:t>
      </w:r>
      <w:r>
        <w:t xml:space="preserve"> — известная константа, </w:t>
      </w:r>
      <m:oMath>
        <m:r>
          <w:rPr>
            <w:rFonts w:ascii="Cambria Math" w:hAnsi="Cambria Math"/>
            <w:color w:val="000000" w:themeColor="text1"/>
            <w:lang w:val="en-US"/>
          </w:rPr>
          <m:t>f</m:t>
        </m:r>
      </m:oMath>
      <w:r>
        <w:t xml:space="preserve">— теоретически вычисляемая интегральная функция Ферми. В отличие от анализа [3], использованы новейшие значения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en-US"/>
              </w:rPr>
              <m:t>δ</m:t>
            </m:r>
          </m:e>
          <m:sub>
            <m:r>
              <w:rPr>
                <w:rFonts w:ascii="Cambria Math" w:hAnsi="Cambria Math"/>
                <w:color w:val="000000" w:themeColor="text1"/>
                <w:lang w:val="en-US"/>
              </w:rPr>
              <m:t>C</m:t>
            </m:r>
          </m:sub>
        </m:sSub>
      </m:oMath>
      <w:r>
        <w:t xml:space="preserve"> из [4] и функции </w:t>
      </w:r>
      <m:oMath>
        <m:r>
          <w:rPr>
            <w:rFonts w:ascii="Cambria Math" w:hAnsi="Cambria Math"/>
            <w:color w:val="000000" w:themeColor="text1"/>
            <w:lang w:val="en-US"/>
          </w:rPr>
          <m:t>f</m:t>
        </m:r>
      </m:oMath>
      <w:r>
        <w:t xml:space="preserve"> из [5], включены новые данные по </w:t>
      </w:r>
      <m:oMath>
        <m:sSub>
          <m:sSubPr>
            <m:ctrlPr>
              <w:rPr>
                <w:rFonts w:ascii="Cambria Math" w:hAnsi="Cambria Math"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1/2</m:t>
            </m:r>
          </m:sub>
        </m:sSub>
      </m:oMath>
      <w:r>
        <w:t xml:space="preserve"> и </w:t>
      </w:r>
      <m:oMath>
        <m:r>
          <w:rPr>
            <w:rFonts w:ascii="Cambria Math" w:hAnsi="Cambria Math"/>
            <w:color w:val="000000" w:themeColor="text1"/>
            <w:lang w:val="en-US"/>
          </w:rPr>
          <m:t>BR</m:t>
        </m:r>
      </m:oMath>
      <w:r>
        <w:t xml:space="preserve">; для отбора согласованных измерений применён критерий Шовене. Идентифицирован статистический выброс — </w:t>
      </w:r>
      <w:proofErr w:type="spellStart"/>
      <w:r>
        <w:rPr>
          <w:i/>
          <w:iCs/>
        </w:rPr>
        <w:t>Ft</w:t>
      </w:r>
      <w:proofErr w:type="spellEnd"/>
      <w:r>
        <w:t xml:space="preserve">-значение </w:t>
      </w:r>
      <w:r>
        <w:rPr>
          <w:vertAlign w:val="superscript"/>
        </w:rPr>
        <w:t>62</w:t>
      </w:r>
      <w:r>
        <w:t>Ga.</w:t>
      </w:r>
    </w:p>
    <w:p w:rsidR="002D315E" w:rsidRDefault="00971030">
      <w:pPr>
        <w:ind w:firstLine="425"/>
        <w:jc w:val="both"/>
      </w:pPr>
      <w:r>
        <w:t xml:space="preserve">По результатам анализа 14 наиболее точно измеренных нуклидов получено среднее </w:t>
      </w:r>
      <w:proofErr w:type="spellStart"/>
      <w:r>
        <w:rPr>
          <w:i/>
          <w:iCs/>
        </w:rPr>
        <w:t>Ft</w:t>
      </w:r>
      <w:proofErr w:type="spellEnd"/>
      <w:r w:rsidR="00334205">
        <w:t> </w:t>
      </w:r>
      <w:r>
        <w:t>=</w:t>
      </w:r>
      <w:r w:rsidR="00334205">
        <w:t> </w:t>
      </w:r>
      <w:r>
        <w:t xml:space="preserve">3073.5 (3.1) с, не зависящее от </w:t>
      </w:r>
      <w:r>
        <w:rPr>
          <w:i/>
          <w:iCs/>
        </w:rPr>
        <w:t>Z</w:t>
      </w:r>
      <w:r>
        <w:t xml:space="preserve"> дочернего ядра в пределах погрешности, что согласуется с CVC-гипотезой. Найдены векторная константа связи </w:t>
      </w:r>
      <w:r>
        <w:rPr>
          <w:i/>
          <w:iCs/>
        </w:rPr>
        <w:t>G</w:t>
      </w:r>
      <w:r w:rsidRPr="00E449C7">
        <w:rPr>
          <w:vertAlign w:val="subscript"/>
        </w:rPr>
        <w:t>V</w:t>
      </w:r>
      <w:r w:rsidR="0080420E">
        <w:t>/</w:t>
      </w:r>
      <w:r>
        <w:t>(</w:t>
      </w:r>
      <w:proofErr w:type="spellStart"/>
      <w:r w:rsidRPr="00E449C7">
        <w:t>ℏ</w:t>
      </w:r>
      <w:r>
        <w:rPr>
          <w:i/>
          <w:iCs/>
        </w:rPr>
        <w:t>c</w:t>
      </w:r>
      <w:proofErr w:type="spellEnd"/>
      <w:r>
        <w:t>)</w:t>
      </w:r>
      <w:r>
        <w:rPr>
          <w:vertAlign w:val="superscript"/>
        </w:rPr>
        <w:t>3</w:t>
      </w:r>
      <w:r>
        <w:t xml:space="preserve"> = 1.1355</w:t>
      </w:r>
      <w:r w:rsidR="00490693">
        <w:t>(</w:t>
      </w:r>
      <w:proofErr w:type="gramStart"/>
      <w:r>
        <w:t>6</w:t>
      </w:r>
      <w:r w:rsidR="00490693">
        <w:t>)</w:t>
      </w:r>
      <w:r>
        <w:t>·</w:t>
      </w:r>
      <w:proofErr w:type="gramEnd"/>
      <w:r>
        <w:t>10</w:t>
      </w:r>
      <w:r>
        <w:rPr>
          <w:vertAlign w:val="superscript"/>
        </w:rPr>
        <w:t>−5</w:t>
      </w:r>
      <w:r>
        <w:t xml:space="preserve"> ГэВ</w:t>
      </w:r>
      <w:r>
        <w:rPr>
          <w:vertAlign w:val="superscript"/>
        </w:rPr>
        <w:t>−2</w:t>
      </w:r>
      <w:r>
        <w:t xml:space="preserve"> и элемент </w:t>
      </w:r>
      <w:proofErr w:type="spellStart"/>
      <w:r>
        <w:rPr>
          <w:i/>
          <w:iCs/>
        </w:rPr>
        <w:t>V</w:t>
      </w:r>
      <w:r w:rsidRPr="00E449C7">
        <w:rPr>
          <w:vertAlign w:val="subscript"/>
        </w:rPr>
        <w:t>ud</w:t>
      </w:r>
      <w:proofErr w:type="spellEnd"/>
      <w:r>
        <w:t xml:space="preserve"> = 0.97353 (51). Проверка унитарности первой строки матрицы СКМ</w:t>
      </w:r>
    </w:p>
    <w:p w:rsidR="002D315E" w:rsidRPr="00C81EF4" w:rsidRDefault="00C81EF4">
      <w:pPr>
        <w:spacing w:before="60" w:after="60"/>
        <w:jc w:val="center"/>
        <w:rPr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2"/>
                  <w:szCs w:val="22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22"/>
                        </w:rPr>
                        <m:t>ud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  <w:sz w:val="22"/>
              <w:szCs w:val="22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2"/>
                  <w:szCs w:val="22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22"/>
                        </w:rPr>
                        <m:t>us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  <w:sz w:val="22"/>
              <w:szCs w:val="22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2"/>
                  <w:szCs w:val="22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22"/>
                        </w:rPr>
                        <m:t>ub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  <w:sz w:val="22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0.9981 (11)</m:t>
          </m:r>
        </m:oMath>
      </m:oMathPara>
    </w:p>
    <w:p w:rsidR="002D315E" w:rsidRDefault="00971030" w:rsidP="00971030">
      <w:pPr>
        <w:jc w:val="both"/>
      </w:pPr>
      <w:r>
        <w:t xml:space="preserve">со значениями </w:t>
      </w:r>
      <w:proofErr w:type="spellStart"/>
      <w:r>
        <w:rPr>
          <w:i/>
          <w:iCs/>
        </w:rPr>
        <w:t>V</w:t>
      </w:r>
      <w:r w:rsidRPr="00E449C7">
        <w:rPr>
          <w:vertAlign w:val="subscript"/>
        </w:rPr>
        <w:t>us</w:t>
      </w:r>
      <w:proofErr w:type="spellEnd"/>
      <w:r>
        <w:t xml:space="preserve"> и </w:t>
      </w:r>
      <w:proofErr w:type="spellStart"/>
      <w:r>
        <w:rPr>
          <w:i/>
          <w:iCs/>
        </w:rPr>
        <w:t>V</w:t>
      </w:r>
      <w:r w:rsidRPr="00E449C7">
        <w:rPr>
          <w:vertAlign w:val="subscript"/>
        </w:rPr>
        <w:t>ub</w:t>
      </w:r>
      <w:proofErr w:type="spellEnd"/>
      <w:r>
        <w:t xml:space="preserve"> из [6] соответствует отклонению от унитарности на 1.8σ — менее напряжённому, чем в [3] (2.4σ). Результаты не противоречат CVC-гипотезе, уточняют значимость «аномалии угла </w:t>
      </w:r>
      <w:proofErr w:type="spellStart"/>
      <w:r>
        <w:t>Кабиббо</w:t>
      </w:r>
      <w:proofErr w:type="spellEnd"/>
      <w:r>
        <w:t>» и демонстрируют преимущества применённой статистической методики при работе с малыми выборками.</w:t>
      </w:r>
    </w:p>
    <w:p w:rsidR="002D315E" w:rsidRDefault="002D315E">
      <w:pPr>
        <w:jc w:val="center"/>
      </w:pPr>
    </w:p>
    <w:p w:rsidR="002D315E" w:rsidRDefault="00971030">
      <w:pPr>
        <w:spacing w:after="60"/>
        <w:jc w:val="center"/>
      </w:pPr>
      <w:r>
        <w:rPr>
          <w:b/>
          <w:bCs/>
          <w:sz w:val="22"/>
          <w:szCs w:val="22"/>
        </w:rPr>
        <w:t>Список источников</w:t>
      </w:r>
    </w:p>
    <w:p w:rsidR="002D315E" w:rsidRPr="005E332D" w:rsidRDefault="00971030">
      <w:r>
        <w:rPr>
          <w:sz w:val="22"/>
          <w:szCs w:val="22"/>
        </w:rPr>
        <w:t xml:space="preserve">1. </w:t>
      </w:r>
      <w:r w:rsidRPr="005E332D">
        <w:rPr>
          <w:sz w:val="22"/>
          <w:szCs w:val="22"/>
        </w:rPr>
        <w:t xml:space="preserve">V. </w:t>
      </w:r>
      <w:proofErr w:type="spellStart"/>
      <w:r w:rsidRPr="005E332D">
        <w:rPr>
          <w:sz w:val="22"/>
          <w:szCs w:val="22"/>
        </w:rPr>
        <w:t>Cirigliano</w:t>
      </w:r>
      <w:proofErr w:type="spellEnd"/>
      <w:r w:rsidRPr="005E332D">
        <w:rPr>
          <w:sz w:val="22"/>
          <w:szCs w:val="22"/>
        </w:rPr>
        <w:t xml:space="preserve">, A. </w:t>
      </w:r>
      <w:proofErr w:type="spellStart"/>
      <w:r w:rsidRPr="005E332D">
        <w:rPr>
          <w:sz w:val="22"/>
          <w:szCs w:val="22"/>
        </w:rPr>
        <w:t>Crivellin</w:t>
      </w:r>
      <w:proofErr w:type="spellEnd"/>
      <w:r w:rsidRPr="005E332D">
        <w:rPr>
          <w:sz w:val="22"/>
          <w:szCs w:val="22"/>
        </w:rPr>
        <w:t xml:space="preserve">, M. </w:t>
      </w:r>
      <w:proofErr w:type="spellStart"/>
      <w:r w:rsidRPr="005E332D">
        <w:rPr>
          <w:sz w:val="22"/>
          <w:szCs w:val="22"/>
        </w:rPr>
        <w:t>Hoferichter</w:t>
      </w:r>
      <w:proofErr w:type="spellEnd"/>
      <w:r w:rsidRPr="005E332D">
        <w:rPr>
          <w:sz w:val="22"/>
          <w:szCs w:val="22"/>
        </w:rPr>
        <w:t xml:space="preserve">, M. </w:t>
      </w:r>
      <w:proofErr w:type="spellStart"/>
      <w:r w:rsidRPr="005E332D">
        <w:rPr>
          <w:sz w:val="22"/>
          <w:szCs w:val="22"/>
        </w:rPr>
        <w:t>Moulson</w:t>
      </w:r>
      <w:proofErr w:type="spellEnd"/>
      <w:r w:rsidRPr="005E332D">
        <w:rPr>
          <w:sz w:val="22"/>
          <w:szCs w:val="22"/>
        </w:rPr>
        <w:t xml:space="preserve">, </w:t>
      </w:r>
      <w:proofErr w:type="spellStart"/>
      <w:r w:rsidRPr="005E332D">
        <w:rPr>
          <w:sz w:val="22"/>
          <w:szCs w:val="22"/>
        </w:rPr>
        <w:t>Phys</w:t>
      </w:r>
      <w:proofErr w:type="spellEnd"/>
      <w:r w:rsidRPr="005E332D">
        <w:rPr>
          <w:sz w:val="22"/>
          <w:szCs w:val="22"/>
        </w:rPr>
        <w:t xml:space="preserve">. </w:t>
      </w:r>
      <w:proofErr w:type="spellStart"/>
      <w:r w:rsidRPr="005E332D">
        <w:rPr>
          <w:sz w:val="22"/>
          <w:szCs w:val="22"/>
        </w:rPr>
        <w:t>Lett</w:t>
      </w:r>
      <w:proofErr w:type="spellEnd"/>
      <w:r w:rsidRPr="005E332D">
        <w:rPr>
          <w:sz w:val="22"/>
          <w:szCs w:val="22"/>
        </w:rPr>
        <w:t xml:space="preserve">. B </w:t>
      </w:r>
      <w:r w:rsidRPr="005E332D">
        <w:rPr>
          <w:b/>
          <w:bCs/>
          <w:sz w:val="22"/>
          <w:szCs w:val="22"/>
        </w:rPr>
        <w:t>838</w:t>
      </w:r>
      <w:r w:rsidRPr="005E332D">
        <w:rPr>
          <w:sz w:val="22"/>
          <w:szCs w:val="22"/>
        </w:rPr>
        <w:t>, 137748 (2023).</w:t>
      </w:r>
    </w:p>
    <w:p w:rsidR="002D315E" w:rsidRPr="005E332D" w:rsidRDefault="00971030">
      <w:r w:rsidRPr="005E332D">
        <w:rPr>
          <w:sz w:val="22"/>
          <w:szCs w:val="22"/>
        </w:rPr>
        <w:t xml:space="preserve">2. N. K. </w:t>
      </w:r>
      <w:proofErr w:type="spellStart"/>
      <w:r w:rsidRPr="005E332D">
        <w:rPr>
          <w:sz w:val="22"/>
          <w:szCs w:val="22"/>
        </w:rPr>
        <w:t>Kuzmenko</w:t>
      </w:r>
      <w:proofErr w:type="spellEnd"/>
      <w:r w:rsidRPr="005E332D">
        <w:rPr>
          <w:sz w:val="22"/>
          <w:szCs w:val="22"/>
        </w:rPr>
        <w:t xml:space="preserve">, </w:t>
      </w:r>
      <w:proofErr w:type="spellStart"/>
      <w:r w:rsidRPr="005E332D">
        <w:rPr>
          <w:sz w:val="22"/>
          <w:szCs w:val="22"/>
        </w:rPr>
        <w:t>Appl</w:t>
      </w:r>
      <w:proofErr w:type="spellEnd"/>
      <w:r w:rsidRPr="005E332D">
        <w:rPr>
          <w:sz w:val="22"/>
          <w:szCs w:val="22"/>
        </w:rPr>
        <w:t xml:space="preserve">. </w:t>
      </w:r>
      <w:proofErr w:type="spellStart"/>
      <w:r w:rsidRPr="005E332D">
        <w:rPr>
          <w:sz w:val="22"/>
          <w:szCs w:val="22"/>
        </w:rPr>
        <w:t>Radiat</w:t>
      </w:r>
      <w:proofErr w:type="spellEnd"/>
      <w:r w:rsidRPr="005E332D">
        <w:rPr>
          <w:sz w:val="22"/>
          <w:szCs w:val="22"/>
        </w:rPr>
        <w:t xml:space="preserve">. </w:t>
      </w:r>
      <w:proofErr w:type="spellStart"/>
      <w:r w:rsidRPr="005E332D">
        <w:rPr>
          <w:sz w:val="22"/>
          <w:szCs w:val="22"/>
        </w:rPr>
        <w:t>Isot</w:t>
      </w:r>
      <w:proofErr w:type="spellEnd"/>
      <w:r w:rsidRPr="005E332D">
        <w:rPr>
          <w:sz w:val="22"/>
          <w:szCs w:val="22"/>
        </w:rPr>
        <w:t xml:space="preserve">. </w:t>
      </w:r>
      <w:r w:rsidRPr="005E332D">
        <w:rPr>
          <w:b/>
          <w:bCs/>
          <w:sz w:val="22"/>
          <w:szCs w:val="22"/>
        </w:rPr>
        <w:t>180</w:t>
      </w:r>
      <w:r w:rsidRPr="005E332D">
        <w:rPr>
          <w:sz w:val="22"/>
          <w:szCs w:val="22"/>
        </w:rPr>
        <w:t>, 110039 (2022).</w:t>
      </w:r>
    </w:p>
    <w:p w:rsidR="002D315E" w:rsidRPr="005E332D" w:rsidRDefault="00971030">
      <w:r w:rsidRPr="005E332D">
        <w:rPr>
          <w:sz w:val="22"/>
          <w:szCs w:val="22"/>
        </w:rPr>
        <w:t xml:space="preserve">3. J. C. </w:t>
      </w:r>
      <w:proofErr w:type="spellStart"/>
      <w:r w:rsidRPr="005E332D">
        <w:rPr>
          <w:sz w:val="22"/>
          <w:szCs w:val="22"/>
        </w:rPr>
        <w:t>Hardy</w:t>
      </w:r>
      <w:proofErr w:type="spellEnd"/>
      <w:r w:rsidRPr="005E332D">
        <w:rPr>
          <w:sz w:val="22"/>
          <w:szCs w:val="22"/>
        </w:rPr>
        <w:t xml:space="preserve">, I. S. </w:t>
      </w:r>
      <w:proofErr w:type="spellStart"/>
      <w:r w:rsidRPr="005E332D">
        <w:rPr>
          <w:sz w:val="22"/>
          <w:szCs w:val="22"/>
        </w:rPr>
        <w:t>Towner</w:t>
      </w:r>
      <w:proofErr w:type="spellEnd"/>
      <w:r w:rsidRPr="005E332D">
        <w:rPr>
          <w:sz w:val="22"/>
          <w:szCs w:val="22"/>
        </w:rPr>
        <w:t xml:space="preserve">, </w:t>
      </w:r>
      <w:proofErr w:type="spellStart"/>
      <w:r w:rsidRPr="005E332D">
        <w:rPr>
          <w:sz w:val="22"/>
          <w:szCs w:val="22"/>
        </w:rPr>
        <w:t>Phys</w:t>
      </w:r>
      <w:proofErr w:type="spellEnd"/>
      <w:r w:rsidRPr="005E332D">
        <w:rPr>
          <w:sz w:val="22"/>
          <w:szCs w:val="22"/>
        </w:rPr>
        <w:t xml:space="preserve">. </w:t>
      </w:r>
      <w:proofErr w:type="spellStart"/>
      <w:r w:rsidRPr="005E332D">
        <w:rPr>
          <w:sz w:val="22"/>
          <w:szCs w:val="22"/>
        </w:rPr>
        <w:t>Rev</w:t>
      </w:r>
      <w:proofErr w:type="spellEnd"/>
      <w:r w:rsidRPr="005E332D">
        <w:rPr>
          <w:sz w:val="22"/>
          <w:szCs w:val="22"/>
        </w:rPr>
        <w:t xml:space="preserve">. C </w:t>
      </w:r>
      <w:r w:rsidRPr="005E332D">
        <w:rPr>
          <w:b/>
          <w:bCs/>
          <w:sz w:val="22"/>
          <w:szCs w:val="22"/>
        </w:rPr>
        <w:t>102</w:t>
      </w:r>
      <w:r w:rsidRPr="005E332D">
        <w:rPr>
          <w:sz w:val="22"/>
          <w:szCs w:val="22"/>
        </w:rPr>
        <w:t>, 045501 (2020).</w:t>
      </w:r>
    </w:p>
    <w:p w:rsidR="002D315E" w:rsidRPr="005E332D" w:rsidRDefault="00971030">
      <w:r w:rsidRPr="005E332D">
        <w:rPr>
          <w:sz w:val="22"/>
          <w:szCs w:val="22"/>
        </w:rPr>
        <w:t xml:space="preserve">4. L. </w:t>
      </w:r>
      <w:proofErr w:type="spellStart"/>
      <w:r w:rsidRPr="005E332D">
        <w:rPr>
          <w:sz w:val="22"/>
          <w:szCs w:val="22"/>
        </w:rPr>
        <w:t>Xayavong</w:t>
      </w:r>
      <w:proofErr w:type="spellEnd"/>
      <w:r w:rsidRPr="005E332D">
        <w:rPr>
          <w:sz w:val="22"/>
          <w:szCs w:val="22"/>
        </w:rPr>
        <w:t xml:space="preserve">, N. A. </w:t>
      </w:r>
      <w:proofErr w:type="spellStart"/>
      <w:r w:rsidRPr="005E332D">
        <w:rPr>
          <w:sz w:val="22"/>
          <w:szCs w:val="22"/>
        </w:rPr>
        <w:t>Smirnova</w:t>
      </w:r>
      <w:proofErr w:type="spellEnd"/>
      <w:r w:rsidRPr="005E332D">
        <w:rPr>
          <w:sz w:val="22"/>
          <w:szCs w:val="22"/>
        </w:rPr>
        <w:t xml:space="preserve">, F. </w:t>
      </w:r>
      <w:proofErr w:type="spellStart"/>
      <w:r w:rsidRPr="005E332D">
        <w:rPr>
          <w:sz w:val="22"/>
          <w:szCs w:val="22"/>
        </w:rPr>
        <w:t>Nowacki</w:t>
      </w:r>
      <w:proofErr w:type="spellEnd"/>
      <w:r w:rsidRPr="005E332D">
        <w:rPr>
          <w:sz w:val="22"/>
          <w:szCs w:val="22"/>
        </w:rPr>
        <w:t xml:space="preserve">, </w:t>
      </w:r>
      <w:proofErr w:type="spellStart"/>
      <w:r w:rsidRPr="005E332D">
        <w:rPr>
          <w:sz w:val="22"/>
          <w:szCs w:val="22"/>
        </w:rPr>
        <w:t>Phys</w:t>
      </w:r>
      <w:proofErr w:type="spellEnd"/>
      <w:r w:rsidRPr="005E332D">
        <w:rPr>
          <w:sz w:val="22"/>
          <w:szCs w:val="22"/>
        </w:rPr>
        <w:t xml:space="preserve">. </w:t>
      </w:r>
      <w:proofErr w:type="spellStart"/>
      <w:r w:rsidRPr="005E332D">
        <w:rPr>
          <w:sz w:val="22"/>
          <w:szCs w:val="22"/>
        </w:rPr>
        <w:t>Rev</w:t>
      </w:r>
      <w:proofErr w:type="spellEnd"/>
      <w:r w:rsidRPr="005E332D">
        <w:rPr>
          <w:sz w:val="22"/>
          <w:szCs w:val="22"/>
        </w:rPr>
        <w:t xml:space="preserve">. C </w:t>
      </w:r>
      <w:r w:rsidRPr="005E332D">
        <w:rPr>
          <w:b/>
          <w:bCs/>
          <w:sz w:val="22"/>
          <w:szCs w:val="22"/>
        </w:rPr>
        <w:t>112</w:t>
      </w:r>
      <w:r w:rsidRPr="005E332D">
        <w:rPr>
          <w:sz w:val="22"/>
          <w:szCs w:val="22"/>
        </w:rPr>
        <w:t>, 055503 (2025).</w:t>
      </w:r>
    </w:p>
    <w:p w:rsidR="002D315E" w:rsidRPr="005E332D" w:rsidRDefault="00971030">
      <w:r w:rsidRPr="005E332D">
        <w:rPr>
          <w:sz w:val="22"/>
          <w:szCs w:val="22"/>
        </w:rPr>
        <w:t xml:space="preserve">5. C.-Y. </w:t>
      </w:r>
      <w:proofErr w:type="spellStart"/>
      <w:r w:rsidRPr="005E332D">
        <w:rPr>
          <w:sz w:val="22"/>
          <w:szCs w:val="22"/>
        </w:rPr>
        <w:t>Seng</w:t>
      </w:r>
      <w:proofErr w:type="spellEnd"/>
      <w:r w:rsidRPr="005E332D">
        <w:rPr>
          <w:sz w:val="22"/>
          <w:szCs w:val="22"/>
        </w:rPr>
        <w:t xml:space="preserve">, M. </w:t>
      </w:r>
      <w:proofErr w:type="spellStart"/>
      <w:r w:rsidRPr="005E332D">
        <w:rPr>
          <w:sz w:val="22"/>
          <w:szCs w:val="22"/>
        </w:rPr>
        <w:t>Gorchtein</w:t>
      </w:r>
      <w:proofErr w:type="spellEnd"/>
      <w:r w:rsidRPr="005E332D">
        <w:rPr>
          <w:sz w:val="22"/>
          <w:szCs w:val="22"/>
        </w:rPr>
        <w:t xml:space="preserve">, </w:t>
      </w:r>
      <w:proofErr w:type="spellStart"/>
      <w:r w:rsidRPr="005E332D">
        <w:rPr>
          <w:sz w:val="22"/>
          <w:szCs w:val="22"/>
        </w:rPr>
        <w:t>Phys</w:t>
      </w:r>
      <w:proofErr w:type="spellEnd"/>
      <w:r w:rsidRPr="005E332D">
        <w:rPr>
          <w:sz w:val="22"/>
          <w:szCs w:val="22"/>
        </w:rPr>
        <w:t xml:space="preserve">. </w:t>
      </w:r>
      <w:proofErr w:type="spellStart"/>
      <w:r w:rsidRPr="005E332D">
        <w:rPr>
          <w:sz w:val="22"/>
          <w:szCs w:val="22"/>
        </w:rPr>
        <w:t>Rev</w:t>
      </w:r>
      <w:proofErr w:type="spellEnd"/>
      <w:r w:rsidRPr="005E332D">
        <w:rPr>
          <w:sz w:val="22"/>
          <w:szCs w:val="22"/>
        </w:rPr>
        <w:t xml:space="preserve">. C </w:t>
      </w:r>
      <w:r w:rsidRPr="005E332D">
        <w:rPr>
          <w:b/>
          <w:bCs/>
          <w:sz w:val="22"/>
          <w:szCs w:val="22"/>
        </w:rPr>
        <w:t>109</w:t>
      </w:r>
      <w:r w:rsidRPr="005E332D">
        <w:rPr>
          <w:sz w:val="22"/>
          <w:szCs w:val="22"/>
        </w:rPr>
        <w:t>, 045501 (2024).</w:t>
      </w:r>
    </w:p>
    <w:p w:rsidR="002D315E" w:rsidRPr="005E332D" w:rsidRDefault="00971030">
      <w:r w:rsidRPr="005E332D">
        <w:rPr>
          <w:sz w:val="22"/>
          <w:szCs w:val="22"/>
        </w:rPr>
        <w:t xml:space="preserve">6. S. </w:t>
      </w:r>
      <w:proofErr w:type="spellStart"/>
      <w:r w:rsidRPr="005E332D">
        <w:rPr>
          <w:sz w:val="22"/>
          <w:szCs w:val="22"/>
        </w:rPr>
        <w:t>Navas</w:t>
      </w:r>
      <w:proofErr w:type="spellEnd"/>
      <w:r w:rsidRPr="005E332D">
        <w:rPr>
          <w:sz w:val="22"/>
          <w:szCs w:val="22"/>
        </w:rPr>
        <w:t xml:space="preserve"> </w:t>
      </w:r>
      <w:proofErr w:type="spellStart"/>
      <w:r w:rsidRPr="005E332D">
        <w:rPr>
          <w:sz w:val="22"/>
          <w:szCs w:val="22"/>
        </w:rPr>
        <w:t>et</w:t>
      </w:r>
      <w:proofErr w:type="spellEnd"/>
      <w:r w:rsidRPr="005E332D">
        <w:rPr>
          <w:sz w:val="22"/>
          <w:szCs w:val="22"/>
        </w:rPr>
        <w:t xml:space="preserve"> </w:t>
      </w:r>
      <w:proofErr w:type="spellStart"/>
      <w:r w:rsidRPr="005E332D">
        <w:rPr>
          <w:sz w:val="22"/>
          <w:szCs w:val="22"/>
        </w:rPr>
        <w:t>al</w:t>
      </w:r>
      <w:proofErr w:type="spellEnd"/>
      <w:r w:rsidRPr="005E332D">
        <w:rPr>
          <w:sz w:val="22"/>
          <w:szCs w:val="22"/>
        </w:rPr>
        <w:t>. (</w:t>
      </w:r>
      <w:proofErr w:type="spellStart"/>
      <w:r w:rsidRPr="005E332D">
        <w:rPr>
          <w:sz w:val="22"/>
          <w:szCs w:val="22"/>
        </w:rPr>
        <w:t>Particle</w:t>
      </w:r>
      <w:proofErr w:type="spellEnd"/>
      <w:r w:rsidRPr="005E332D">
        <w:rPr>
          <w:sz w:val="22"/>
          <w:szCs w:val="22"/>
        </w:rPr>
        <w:t xml:space="preserve"> </w:t>
      </w:r>
      <w:proofErr w:type="spellStart"/>
      <w:r w:rsidRPr="005E332D">
        <w:rPr>
          <w:sz w:val="22"/>
          <w:szCs w:val="22"/>
        </w:rPr>
        <w:t>Data</w:t>
      </w:r>
      <w:proofErr w:type="spellEnd"/>
      <w:r w:rsidRPr="005E332D">
        <w:rPr>
          <w:sz w:val="22"/>
          <w:szCs w:val="22"/>
        </w:rPr>
        <w:t xml:space="preserve"> </w:t>
      </w:r>
      <w:proofErr w:type="spellStart"/>
      <w:r w:rsidRPr="005E332D">
        <w:rPr>
          <w:sz w:val="22"/>
          <w:szCs w:val="22"/>
        </w:rPr>
        <w:t>Group</w:t>
      </w:r>
      <w:proofErr w:type="spellEnd"/>
      <w:r w:rsidRPr="005E332D">
        <w:rPr>
          <w:sz w:val="22"/>
          <w:szCs w:val="22"/>
        </w:rPr>
        <w:t xml:space="preserve">), </w:t>
      </w:r>
      <w:proofErr w:type="spellStart"/>
      <w:r w:rsidRPr="005E332D">
        <w:rPr>
          <w:sz w:val="22"/>
          <w:szCs w:val="22"/>
        </w:rPr>
        <w:t>Phys</w:t>
      </w:r>
      <w:proofErr w:type="spellEnd"/>
      <w:r w:rsidRPr="005E332D">
        <w:rPr>
          <w:sz w:val="22"/>
          <w:szCs w:val="22"/>
        </w:rPr>
        <w:t xml:space="preserve">. </w:t>
      </w:r>
      <w:proofErr w:type="spellStart"/>
      <w:r w:rsidRPr="005E332D">
        <w:rPr>
          <w:sz w:val="22"/>
          <w:szCs w:val="22"/>
        </w:rPr>
        <w:t>Rev</w:t>
      </w:r>
      <w:proofErr w:type="spellEnd"/>
      <w:r w:rsidRPr="005E332D">
        <w:rPr>
          <w:sz w:val="22"/>
          <w:szCs w:val="22"/>
        </w:rPr>
        <w:t xml:space="preserve">. D </w:t>
      </w:r>
      <w:r w:rsidRPr="005E332D">
        <w:rPr>
          <w:b/>
          <w:bCs/>
          <w:sz w:val="22"/>
          <w:szCs w:val="22"/>
        </w:rPr>
        <w:t>110</w:t>
      </w:r>
      <w:r w:rsidRPr="005E332D">
        <w:rPr>
          <w:sz w:val="22"/>
          <w:szCs w:val="22"/>
        </w:rPr>
        <w:t>, 030001 (2024).</w:t>
      </w:r>
    </w:p>
    <w:sectPr w:rsidR="002D315E" w:rsidRPr="005E332D">
      <w:pgSz w:w="11906" w:h="16838"/>
      <w:pgMar w:top="1134" w:right="1134" w:bottom="1418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75E24"/>
    <w:multiLevelType w:val="hybridMultilevel"/>
    <w:tmpl w:val="8E606EE8"/>
    <w:lvl w:ilvl="0" w:tplc="13029146">
      <w:start w:val="1"/>
      <w:numFmt w:val="bullet"/>
      <w:lvlText w:val="●"/>
      <w:lvlJc w:val="left"/>
      <w:pPr>
        <w:ind w:left="720" w:hanging="360"/>
      </w:pPr>
    </w:lvl>
    <w:lvl w:ilvl="1" w:tplc="BF98BA60">
      <w:start w:val="1"/>
      <w:numFmt w:val="bullet"/>
      <w:lvlText w:val="○"/>
      <w:lvlJc w:val="left"/>
      <w:pPr>
        <w:ind w:left="1440" w:hanging="360"/>
      </w:pPr>
    </w:lvl>
    <w:lvl w:ilvl="2" w:tplc="A1F4AE3E">
      <w:start w:val="1"/>
      <w:numFmt w:val="bullet"/>
      <w:lvlText w:val="■"/>
      <w:lvlJc w:val="left"/>
      <w:pPr>
        <w:ind w:left="2160" w:hanging="360"/>
      </w:pPr>
    </w:lvl>
    <w:lvl w:ilvl="3" w:tplc="35EC0CEC">
      <w:start w:val="1"/>
      <w:numFmt w:val="bullet"/>
      <w:lvlText w:val="●"/>
      <w:lvlJc w:val="left"/>
      <w:pPr>
        <w:ind w:left="2880" w:hanging="360"/>
      </w:pPr>
    </w:lvl>
    <w:lvl w:ilvl="4" w:tplc="0B56445C">
      <w:start w:val="1"/>
      <w:numFmt w:val="bullet"/>
      <w:lvlText w:val="○"/>
      <w:lvlJc w:val="left"/>
      <w:pPr>
        <w:ind w:left="3600" w:hanging="360"/>
      </w:pPr>
    </w:lvl>
    <w:lvl w:ilvl="5" w:tplc="12F80D58">
      <w:start w:val="1"/>
      <w:numFmt w:val="bullet"/>
      <w:lvlText w:val="■"/>
      <w:lvlJc w:val="left"/>
      <w:pPr>
        <w:ind w:left="4320" w:hanging="360"/>
      </w:pPr>
    </w:lvl>
    <w:lvl w:ilvl="6" w:tplc="2F5C5EBC">
      <w:start w:val="1"/>
      <w:numFmt w:val="bullet"/>
      <w:lvlText w:val="●"/>
      <w:lvlJc w:val="left"/>
      <w:pPr>
        <w:ind w:left="5040" w:hanging="360"/>
      </w:pPr>
    </w:lvl>
    <w:lvl w:ilvl="7" w:tplc="C78CBDC6">
      <w:start w:val="1"/>
      <w:numFmt w:val="bullet"/>
      <w:lvlText w:val="●"/>
      <w:lvlJc w:val="left"/>
      <w:pPr>
        <w:ind w:left="5760" w:hanging="360"/>
      </w:pPr>
    </w:lvl>
    <w:lvl w:ilvl="8" w:tplc="EDC64FF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5E"/>
    <w:rsid w:val="002C4CB6"/>
    <w:rsid w:val="002D315E"/>
    <w:rsid w:val="00334205"/>
    <w:rsid w:val="00442BBB"/>
    <w:rsid w:val="004508F2"/>
    <w:rsid w:val="00481D71"/>
    <w:rsid w:val="00490693"/>
    <w:rsid w:val="0050413B"/>
    <w:rsid w:val="00513291"/>
    <w:rsid w:val="005E332D"/>
    <w:rsid w:val="00680C7B"/>
    <w:rsid w:val="00782717"/>
    <w:rsid w:val="0080222F"/>
    <w:rsid w:val="0080420E"/>
    <w:rsid w:val="00971030"/>
    <w:rsid w:val="00BD5C04"/>
    <w:rsid w:val="00C12ED1"/>
    <w:rsid w:val="00C81EF4"/>
    <w:rsid w:val="00CA37FD"/>
    <w:rsid w:val="00D04A98"/>
    <w:rsid w:val="00D41A01"/>
    <w:rsid w:val="00E4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FEB433"/>
  <w15:docId w15:val="{040F57DB-B84F-48D9-A80A-B7A459FB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D04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vlasnikov@spb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NUCLEUS-2026</dc:title>
  <dc:creator>Vlasnikov A.K., Gusev I.S.</dc:creator>
  <cp:lastModifiedBy>Власников Александр Константинович</cp:lastModifiedBy>
  <cp:revision>23</cp:revision>
  <dcterms:created xsi:type="dcterms:W3CDTF">2026-05-26T15:17:00Z</dcterms:created>
  <dcterms:modified xsi:type="dcterms:W3CDTF">2026-05-26T16:55:00Z</dcterms:modified>
</cp:coreProperties>
</file>