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73" w:line="244" w:lineRule="auto"/>
        <w:ind w:right="8" w:firstLine="3"/>
        <w:rPr/>
      </w:pPr>
      <w:r w:rsidDel="00000000" w:rsidR="00000000" w:rsidRPr="00000000">
        <w:rPr>
          <w:rtl w:val="0"/>
        </w:rPr>
        <w:t xml:space="preserve">МОДЕЛИРОВАНИЕ КУМУЛЯТИВНЫХ ЭФФЕКТОВ В СТОЛКНОВЕНИЯХ ТЯЖЕЛЫХ ИОНОВ ПРИ ЭНЕРГИЯХ КОЛЛАЙДЕРА NICA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40" w:lineRule="auto"/>
        <w:ind w:left="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М. А. Жаров¹, К. В. Размыслов¹, В. В. Монахов¹ и Ф. Ф. Валиев¹</w:t>
      </w:r>
    </w:p>
    <w:p w:rsidR="00000000" w:rsidDel="00000000" w:rsidP="00000000" w:rsidRDefault="00000000" w:rsidRPr="00000000" w14:paraId="00000003">
      <w:pPr>
        <w:spacing w:before="1" w:line="324" w:lineRule="auto"/>
        <w:ind w:left="1545" w:right="1547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¹Санкт-Петербургский государственный университет, Санкт-Петербург, Россия E-mail: </w:t>
      </w:r>
      <w:hyperlink r:id="rId6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m.zharov@spbu.ru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" w:right="134" w:firstLine="3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настоящее время идет планирование экспериментов по столкновению ядер тяжелых ионов на детекторе MPD коллайдера NICA [1]. В таких экспериментах представляют интерес кумулятивные режимы столкновений ядра с ядром, поскольку они чувствительны к локальным нуклон-нуклонным корреляциям и высокоимпульсным компонентам ядерной волновой функции [2, 3]. В энергетическом диапазоне NICA подпороговое и околопороговое рождение нуклонов чувствительно к локальным нуклон-нуклонным корреляциям и высокоимпульсным компонентам ядерной волновой функции [4].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40" w:right="129" w:firstLine="3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исследовании кумулятивных и подпороговых процессов с помощью генераторов событий следует обращать особое внимание на соблюдение в генерируемых событиях законов сохранения энергии (E), а также электрического (Q) и барионного (B) зарядов [5, 6]. В противном случае наблюдаемые эффекты могут являться следствием некорректной работы генераторов событий. Мы обнаружили, что в EPOS4 наблюдаются существенные нарушения законов сохранения E, Q, B. В PHQMD при энергии NICA также наблюдалось существенное нарушение закона сохранения энергии, причем величина этого нарушения оказалась сильно зависящей от прицельного параметра. В связи с этим мы отказались от использования EPOS4 и PHQMD для изучения кумулятивных и подпороговых эффектов.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40" w:right="129" w:firstLine="3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данной работе предлагается модификация транспортной модели UrQMD, позволяющая использовать её для расчётов кумулятивных эффектов за счёт явного учёта компактных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двухнуклонных конфигураций. Мы модифицировали исходный код UrQMD4 таким образом, что часть пар протон</w:t>
      </w:r>
      <w:r w:rsidDel="00000000" w:rsidR="00000000" w:rsidRPr="00000000">
        <w:rPr>
          <w:rtl w:val="0"/>
        </w:rPr>
        <w:t xml:space="preserve">-нейтрон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в исходных ядрах заменяется на компактные двухнуклонные p</w:t>
      </w:r>
      <w:r w:rsidDel="00000000" w:rsidR="00000000" w:rsidRPr="00000000">
        <w:rPr>
          <w:rtl w:val="0"/>
        </w:rPr>
        <w:t xml:space="preserve">n</w:t>
      </w:r>
      <w:r w:rsidDel="00000000" w:rsidR="00000000" w:rsidRPr="00000000">
        <w:rPr>
          <w:rFonts w:ascii="Gungsuh" w:cs="Gungsuh" w:eastAsia="Gungsuh" w:hAnsi="Gungsuh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-конфигурации (флуктоны F) с барионным числом B=2 и отдельным классом столкновений с нуклонами F+N→N+N+N. Такая схема позволяет в рамках одной и той же транспортной модели сравнивать расчёты со стандартным описанием ядра и с явным учётом компактных двухнуклонных конфигураций. Отдельно рассмотривается влияние флуктонов на подпороговое и околопороговое рождение антибарионов в диапазоне энергий NICA.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" w:right="135" w:firstLine="39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текущей реализации рассматриваются только компактные двухнуклонные конфигурации. В дальнейшем предполагается расширить модель за счёт включения многонуклонных кластеров и, при необходимости, дополнительных классов столкновений. Также планируется использование такого описания в более детальных расчётах для эксперимента MPD, включая сопоставление с экспериментальными данными.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" w:line="240" w:lineRule="auto"/>
        <w:ind w:left="53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Работа выполнена при поддержке гранта СПбГУ ID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70808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53212394.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ind w:left="394" w:firstLine="0"/>
        <w:rPr/>
      </w:pPr>
      <w:r w:rsidDel="00000000" w:rsidR="00000000" w:rsidRPr="00000000">
        <w:rPr>
          <w:rtl w:val="0"/>
        </w:rPr>
        <w:t xml:space="preserve">Список источников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6"/>
        </w:tabs>
        <w:spacing w:after="0" w:before="0" w:line="252.00000000000003" w:lineRule="auto"/>
        <w:ind w:left="896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P. Parfenov et al., Phys. At. Nucl. 88 (4) 715 (2025).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6"/>
        </w:tabs>
        <w:spacing w:after="0" w:before="0" w:line="252.00000000000003" w:lineRule="auto"/>
        <w:ind w:left="896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M. Braun, V. Vechernin, Nucl. Phys. B 427 614 (1994).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6"/>
        </w:tabs>
        <w:spacing w:after="0" w:before="2" w:line="252.00000000000003" w:lineRule="auto"/>
        <w:ind w:left="896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M. A. Braun, V. V. Vechernin, Phys. At. Nucl. 60 (3) 432 (1997).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6"/>
        </w:tabs>
        <w:spacing w:after="0" w:before="0" w:line="252.00000000000003" w:lineRule="auto"/>
        <w:ind w:left="896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В. В. Вечернин и др., ЭЧАЯ 55 (4) 1020 (2024).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6"/>
        </w:tabs>
        <w:spacing w:after="0" w:before="0" w:line="252.00000000000003" w:lineRule="auto"/>
        <w:ind w:left="896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К. В. Размыслов и др., Известия РАН Сер. физическая. 89 (8) 1334 (2025).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6"/>
        </w:tabs>
        <w:spacing w:after="0" w:before="2" w:line="240" w:lineRule="auto"/>
        <w:ind w:left="896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К. В. Размыслов и др., ЭЧАЯ 57 (3) (2026).</w:t>
      </w:r>
    </w:p>
    <w:sectPr>
      <w:pgSz w:h="16840" w:w="11910" w:orient="portrait"/>
      <w:pgMar w:bottom="280" w:top="1040" w:left="992" w:right="992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97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02" w:hanging="360"/>
      </w:pPr>
      <w:rPr/>
    </w:lvl>
    <w:lvl w:ilvl="2">
      <w:start w:val="0"/>
      <w:numFmt w:val="bullet"/>
      <w:lvlText w:val="•"/>
      <w:lvlJc w:val="left"/>
      <w:pPr>
        <w:ind w:left="2704" w:hanging="360"/>
      </w:pPr>
      <w:rPr/>
    </w:lvl>
    <w:lvl w:ilvl="3">
      <w:start w:val="0"/>
      <w:numFmt w:val="bullet"/>
      <w:lvlText w:val="•"/>
      <w:lvlJc w:val="left"/>
      <w:pPr>
        <w:ind w:left="3606" w:hanging="360"/>
      </w:pPr>
      <w:rPr/>
    </w:lvl>
    <w:lvl w:ilvl="4">
      <w:start w:val="0"/>
      <w:numFmt w:val="bullet"/>
      <w:lvlText w:val="•"/>
      <w:lvlJc w:val="left"/>
      <w:pPr>
        <w:ind w:left="4508" w:hanging="360"/>
      </w:pPr>
      <w:rPr/>
    </w:lvl>
    <w:lvl w:ilvl="5">
      <w:start w:val="0"/>
      <w:numFmt w:val="bullet"/>
      <w:lvlText w:val="•"/>
      <w:lvlJc w:val="left"/>
      <w:pPr>
        <w:ind w:left="5411" w:hanging="360"/>
      </w:pPr>
      <w:rPr/>
    </w:lvl>
    <w:lvl w:ilvl="6">
      <w:start w:val="0"/>
      <w:numFmt w:val="bullet"/>
      <w:lvlText w:val="•"/>
      <w:lvlJc w:val="left"/>
      <w:pPr>
        <w:ind w:left="6313" w:hanging="360"/>
      </w:pPr>
      <w:rPr/>
    </w:lvl>
    <w:lvl w:ilvl="7">
      <w:start w:val="0"/>
      <w:numFmt w:val="bullet"/>
      <w:lvlText w:val="•"/>
      <w:lvlJc w:val="left"/>
      <w:pPr>
        <w:ind w:left="7215" w:hanging="360"/>
      </w:pPr>
      <w:rPr/>
    </w:lvl>
    <w:lvl w:ilvl="8">
      <w:start w:val="0"/>
      <w:numFmt w:val="bullet"/>
      <w:lvlText w:val="•"/>
      <w:lvlJc w:val="left"/>
      <w:pPr>
        <w:ind w:left="8117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"/>
      <w:jc w:val="center"/>
    </w:pPr>
    <w:rPr>
      <w:rFonts w:ascii="Times New Roman" w:cs="Times New Roman" w:eastAsia="Times New Roman" w:hAnsi="Times New Roman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.zharov@spb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2026-05-13T00:00:00Z</vt:lpwstr>
  </property>
  <property fmtid="{D5CDD505-2E9C-101B-9397-08002B2CF9AE}" pid="4" name="Creator">
    <vt:lpwstr>Microsoft® Word LTSC</vt:lpwstr>
  </property>
  <property fmtid="{D5CDD505-2E9C-101B-9397-08002B2CF9AE}" pid="5" name="LastSaved">
    <vt:lpwstr>2026-07-08T00:00:00Z</vt:lpwstr>
  </property>
  <property fmtid="{D5CDD505-2E9C-101B-9397-08002B2CF9AE}" pid="6" name="Producer">
    <vt:lpwstr>Microsoft® Word LTSC</vt:lpwstr>
  </property>
</Properties>
</file>