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0107" w14:textId="77777777" w:rsidR="00E60AE7" w:rsidRPr="006132DB" w:rsidRDefault="006132DB" w:rsidP="006132DB">
      <w:pPr>
        <w:keepNext/>
        <w:spacing w:after="140"/>
        <w:jc w:val="center"/>
        <w:rPr>
          <w:lang w:val="ru-RU"/>
        </w:rPr>
      </w:pPr>
      <w:r w:rsidRPr="006132DB">
        <w:rPr>
          <w:b/>
          <w:color w:val="000000"/>
          <w:sz w:val="24"/>
        </w:rPr>
        <w:t>Nd</w:t>
      </w:r>
      <w:r w:rsidRPr="006132DB">
        <w:rPr>
          <w:b/>
          <w:color w:val="000000"/>
          <w:sz w:val="24"/>
          <w:lang w:val="ru-RU"/>
        </w:rPr>
        <w:t>/</w:t>
      </w:r>
      <w:r w:rsidRPr="006132DB">
        <w:rPr>
          <w:b/>
          <w:color w:val="000000"/>
          <w:sz w:val="24"/>
        </w:rPr>
        <w:t>ZnS</w:t>
      </w:r>
      <w:r w:rsidRPr="006132DB">
        <w:rPr>
          <w:b/>
          <w:color w:val="000000"/>
          <w:sz w:val="24"/>
          <w:lang w:val="ru-RU"/>
        </w:rPr>
        <w:t xml:space="preserve">-модифицированные квантовые точки </w:t>
      </w:r>
      <w:proofErr w:type="spellStart"/>
      <w:r w:rsidRPr="006132DB">
        <w:rPr>
          <w:b/>
          <w:color w:val="000000"/>
          <w:sz w:val="24"/>
        </w:rPr>
        <w:t>CdZnSeS</w:t>
      </w:r>
      <w:proofErr w:type="spellEnd"/>
      <w:r w:rsidRPr="006132DB">
        <w:rPr>
          <w:b/>
          <w:color w:val="000000"/>
          <w:sz w:val="24"/>
          <w:lang w:val="ru-RU"/>
        </w:rPr>
        <w:t xml:space="preserve"> как </w:t>
      </w:r>
      <w:proofErr w:type="spellStart"/>
      <w:r w:rsidRPr="006132DB">
        <w:rPr>
          <w:b/>
          <w:color w:val="000000"/>
          <w:sz w:val="24"/>
          <w:lang w:val="ru-RU"/>
        </w:rPr>
        <w:t>нанокомпоненты</w:t>
      </w:r>
      <w:proofErr w:type="spellEnd"/>
      <w:r w:rsidRPr="006132DB">
        <w:rPr>
          <w:b/>
          <w:color w:val="000000"/>
          <w:sz w:val="24"/>
          <w:lang w:val="ru-RU"/>
        </w:rPr>
        <w:t xml:space="preserve"> сцинтилляционных сред для поиска </w:t>
      </w:r>
      <w:proofErr w:type="spellStart"/>
      <w:r w:rsidRPr="006132DB">
        <w:rPr>
          <w:b/>
          <w:color w:val="000000"/>
          <w:sz w:val="24"/>
          <w:lang w:val="ru-RU"/>
        </w:rPr>
        <w:t>безнейтринного</w:t>
      </w:r>
      <w:proofErr w:type="spellEnd"/>
      <w:r w:rsidRPr="006132DB">
        <w:rPr>
          <w:b/>
          <w:color w:val="000000"/>
          <w:sz w:val="24"/>
          <w:lang w:val="ru-RU"/>
        </w:rPr>
        <w:t xml:space="preserve"> двойного </w:t>
      </w:r>
      <w:r w:rsidRPr="006132DB">
        <w:rPr>
          <w:b/>
          <w:color w:val="000000"/>
          <w:sz w:val="24"/>
        </w:rPr>
        <w:t>β</w:t>
      </w:r>
      <w:r w:rsidRPr="006132DB">
        <w:rPr>
          <w:b/>
          <w:color w:val="000000"/>
          <w:sz w:val="24"/>
          <w:lang w:val="ru-RU"/>
        </w:rPr>
        <w:t>-распада ¹⁵⁰</w:t>
      </w:r>
      <w:r w:rsidRPr="006132DB">
        <w:rPr>
          <w:b/>
          <w:color w:val="000000"/>
          <w:sz w:val="24"/>
        </w:rPr>
        <w:t>Nd</w:t>
      </w:r>
    </w:p>
    <w:p w14:paraId="18B4069B" w14:textId="131EDCFD" w:rsidR="006132DB" w:rsidRPr="006132DB" w:rsidRDefault="006132DB" w:rsidP="006132DB">
      <w:pPr>
        <w:widowControl w:val="0"/>
        <w:spacing w:line="480" w:lineRule="auto"/>
        <w:ind w:firstLine="709"/>
        <w:jc w:val="center"/>
        <w:rPr>
          <w:rFonts w:cs="Times New Roman"/>
          <w:b/>
          <w:bCs/>
          <w:sz w:val="24"/>
          <w:szCs w:val="24"/>
          <w:lang w:val="ru-RU"/>
        </w:rPr>
      </w:pPr>
      <w:r w:rsidRPr="006132DB">
        <w:rPr>
          <w:rFonts w:cs="Times New Roman"/>
          <w:b/>
          <w:sz w:val="24"/>
          <w:szCs w:val="24"/>
          <w:lang w:val="ru-RU"/>
        </w:rPr>
        <w:t>Ю.К. Альтудов</w:t>
      </w:r>
      <w:r w:rsidRPr="006132DB">
        <w:rPr>
          <w:rFonts w:cs="Times New Roman"/>
          <w:b/>
          <w:sz w:val="24"/>
          <w:szCs w:val="24"/>
          <w:vertAlign w:val="superscript"/>
          <w:lang w:val="ru-RU"/>
        </w:rPr>
        <w:t>1</w:t>
      </w:r>
      <w:r w:rsidRPr="006132DB">
        <w:rPr>
          <w:rFonts w:cs="Times New Roman"/>
          <w:b/>
          <w:sz w:val="24"/>
          <w:szCs w:val="24"/>
          <w:lang w:val="ru-RU"/>
        </w:rPr>
        <w:t xml:space="preserve">, </w:t>
      </w:r>
      <w:r w:rsidRPr="006132DB">
        <w:rPr>
          <w:rFonts w:cs="Times New Roman"/>
          <w:b/>
          <w:bCs/>
          <w:sz w:val="24"/>
          <w:szCs w:val="24"/>
          <w:lang w:val="ru-RU"/>
        </w:rPr>
        <w:t>А.М. Пшуков</w:t>
      </w:r>
      <w:r w:rsidRPr="006132DB">
        <w:rPr>
          <w:rFonts w:cs="Times New Roman"/>
          <w:b/>
          <w:bCs/>
          <w:sz w:val="24"/>
          <w:szCs w:val="24"/>
          <w:vertAlign w:val="superscript"/>
          <w:lang w:val="ru-RU"/>
        </w:rPr>
        <w:t>1</w:t>
      </w:r>
      <w:r w:rsidRPr="006132DB">
        <w:rPr>
          <w:rFonts w:cs="Times New Roman"/>
          <w:b/>
          <w:bCs/>
          <w:sz w:val="24"/>
          <w:szCs w:val="24"/>
          <w:lang w:val="ru-RU"/>
        </w:rPr>
        <w:t>, Н.Е. Пухаева</w:t>
      </w:r>
      <w:r w:rsidRPr="006132DB">
        <w:rPr>
          <w:rFonts w:cs="Times New Roman"/>
          <w:b/>
          <w:bCs/>
          <w:sz w:val="24"/>
          <w:szCs w:val="24"/>
          <w:vertAlign w:val="superscript"/>
          <w:lang w:val="ru-RU"/>
        </w:rPr>
        <w:t>1</w:t>
      </w:r>
      <w:r>
        <w:rPr>
          <w:rFonts w:cs="Times New Roman"/>
          <w:b/>
          <w:bCs/>
          <w:sz w:val="24"/>
          <w:szCs w:val="24"/>
          <w:lang w:val="ru-RU"/>
        </w:rPr>
        <w:t>,</w:t>
      </w:r>
      <w:r w:rsidRPr="006132DB">
        <w:rPr>
          <w:rFonts w:cs="Times New Roman"/>
          <w:b/>
          <w:bCs/>
          <w:sz w:val="24"/>
          <w:szCs w:val="24"/>
          <w:vertAlign w:val="superscript"/>
          <w:lang w:val="ru-RU"/>
        </w:rPr>
        <w:t>2</w:t>
      </w:r>
      <w:r w:rsidRPr="006132DB">
        <w:rPr>
          <w:rFonts w:cs="Times New Roman"/>
          <w:b/>
          <w:bCs/>
          <w:sz w:val="24"/>
          <w:szCs w:val="24"/>
          <w:lang w:val="ru-RU"/>
        </w:rPr>
        <w:t xml:space="preserve"> Н. Кхесва</w:t>
      </w:r>
      <w:proofErr w:type="gramStart"/>
      <w:r w:rsidRPr="006132DB">
        <w:rPr>
          <w:rFonts w:cs="Times New Roman"/>
          <w:b/>
          <w:bCs/>
          <w:sz w:val="24"/>
          <w:szCs w:val="24"/>
          <w:vertAlign w:val="superscript"/>
          <w:lang w:val="ru-RU"/>
        </w:rPr>
        <w:t>3</w:t>
      </w:r>
      <w:r>
        <w:rPr>
          <w:rFonts w:cs="Times New Roman"/>
          <w:b/>
          <w:bCs/>
          <w:sz w:val="24"/>
          <w:szCs w:val="24"/>
          <w:vertAlign w:val="superscript"/>
          <w:lang w:val="ru-RU"/>
        </w:rPr>
        <w:t>.</w:t>
      </w:r>
      <w:r>
        <w:rPr>
          <w:rFonts w:cs="Times New Roman"/>
          <w:b/>
          <w:bCs/>
          <w:sz w:val="24"/>
          <w:szCs w:val="24"/>
          <w:lang w:val="ru-RU"/>
        </w:rPr>
        <w:t>С.В.</w:t>
      </w:r>
      <w:proofErr w:type="gramEnd"/>
      <w:r>
        <w:rPr>
          <w:rFonts w:cs="Times New Roman"/>
          <w:b/>
          <w:bCs/>
          <w:sz w:val="24"/>
          <w:szCs w:val="24"/>
          <w:lang w:val="ru-RU"/>
        </w:rPr>
        <w:t xml:space="preserve"> Дежуров</w:t>
      </w:r>
      <w:r w:rsidRPr="006132DB">
        <w:rPr>
          <w:rFonts w:cs="Times New Roman"/>
          <w:b/>
          <w:bCs/>
          <w:sz w:val="24"/>
          <w:szCs w:val="24"/>
          <w:vertAlign w:val="superscript"/>
          <w:lang w:val="ru-RU"/>
        </w:rPr>
        <w:t>1</w:t>
      </w:r>
    </w:p>
    <w:p w14:paraId="1D46C611" w14:textId="0D65C5E8" w:rsidR="006132DB" w:rsidRPr="006132DB" w:rsidRDefault="006132DB" w:rsidP="006132DB">
      <w:pPr>
        <w:widowControl w:val="0"/>
        <w:ind w:firstLine="709"/>
        <w:jc w:val="both"/>
        <w:rPr>
          <w:rFonts w:cs="Times New Roman"/>
          <w:i/>
          <w:sz w:val="24"/>
          <w:szCs w:val="24"/>
          <w:shd w:val="clear" w:color="auto" w:fill="FFFFFF"/>
          <w:lang w:val="ru-RU"/>
        </w:rPr>
      </w:pPr>
      <w:r w:rsidRPr="006132DB">
        <w:rPr>
          <w:rFonts w:cs="Times New Roman"/>
          <w:i/>
          <w:iCs/>
          <w:sz w:val="24"/>
          <w:szCs w:val="24"/>
          <w:vertAlign w:val="superscript"/>
          <w:lang w:val="ru-RU"/>
        </w:rPr>
        <w:t>1</w:t>
      </w:r>
      <w:r w:rsidRPr="006132DB">
        <w:rPr>
          <w:rFonts w:cs="Times New Roman"/>
          <w:i/>
          <w:iCs/>
          <w:sz w:val="24"/>
          <w:szCs w:val="24"/>
          <w:lang w:val="ru-RU"/>
        </w:rPr>
        <w:t>Ф</w:t>
      </w:r>
      <w:r w:rsidRPr="006132DB">
        <w:rPr>
          <w:rFonts w:cs="Times New Roman"/>
          <w:i/>
          <w:sz w:val="24"/>
          <w:szCs w:val="24"/>
          <w:shd w:val="clear" w:color="auto" w:fill="FFFFFF"/>
          <w:lang w:val="ru-RU"/>
        </w:rPr>
        <w:t xml:space="preserve">едеральное государственное бюджетное образовательное учреждение высшего образования «Кабардино-Балкарский государственный университет им. Х.М. </w:t>
      </w:r>
      <w:proofErr w:type="spellStart"/>
      <w:r w:rsidRPr="006132DB">
        <w:rPr>
          <w:rFonts w:cs="Times New Roman"/>
          <w:i/>
          <w:sz w:val="24"/>
          <w:szCs w:val="24"/>
          <w:shd w:val="clear" w:color="auto" w:fill="FFFFFF"/>
          <w:lang w:val="ru-RU"/>
        </w:rPr>
        <w:t>Бербекова</w:t>
      </w:r>
      <w:proofErr w:type="spellEnd"/>
      <w:r w:rsidRPr="006132DB">
        <w:rPr>
          <w:rFonts w:cs="Times New Roman"/>
          <w:i/>
          <w:sz w:val="24"/>
          <w:szCs w:val="24"/>
          <w:shd w:val="clear" w:color="auto" w:fill="FFFFFF"/>
          <w:lang w:val="ru-RU"/>
        </w:rPr>
        <w:t>», Нальчик, Россия</w:t>
      </w:r>
    </w:p>
    <w:p w14:paraId="3F2944BB" w14:textId="77777777" w:rsidR="006132DB" w:rsidRPr="006132DB" w:rsidRDefault="006132DB" w:rsidP="006132DB">
      <w:pPr>
        <w:widowControl w:val="0"/>
        <w:ind w:firstLine="709"/>
        <w:jc w:val="both"/>
        <w:rPr>
          <w:rFonts w:cs="Times New Roman"/>
          <w:i/>
          <w:sz w:val="24"/>
          <w:szCs w:val="24"/>
          <w:shd w:val="clear" w:color="auto" w:fill="FFFFFF"/>
          <w:lang w:val="ru-RU"/>
        </w:rPr>
      </w:pPr>
      <w:r w:rsidRPr="006132DB">
        <w:rPr>
          <w:rFonts w:cs="Times New Roman"/>
          <w:i/>
          <w:sz w:val="24"/>
          <w:szCs w:val="24"/>
          <w:shd w:val="clear" w:color="auto" w:fill="FFFFFF"/>
          <w:vertAlign w:val="superscript"/>
          <w:lang w:val="ru-RU"/>
        </w:rPr>
        <w:t>2</w:t>
      </w:r>
      <w:r w:rsidRPr="006132DB">
        <w:rPr>
          <w:rFonts w:cs="Times New Roman"/>
          <w:i/>
          <w:sz w:val="24"/>
          <w:szCs w:val="24"/>
          <w:shd w:val="clear" w:color="auto" w:fill="FFFFFF"/>
          <w:lang w:val="ru-RU"/>
        </w:rPr>
        <w:t>Объединённый институт ядерных исследований, Дубна, Россия</w:t>
      </w:r>
    </w:p>
    <w:p w14:paraId="2D3EA083" w14:textId="77777777" w:rsidR="006132DB" w:rsidRPr="006132DB" w:rsidRDefault="006132DB" w:rsidP="006132DB">
      <w:pPr>
        <w:widowControl w:val="0"/>
        <w:ind w:firstLine="709"/>
        <w:jc w:val="both"/>
        <w:rPr>
          <w:rFonts w:cs="Times New Roman"/>
          <w:i/>
          <w:sz w:val="24"/>
          <w:szCs w:val="24"/>
          <w:shd w:val="clear" w:color="auto" w:fill="FFFFFF"/>
          <w:lang w:val="ru-RU"/>
        </w:rPr>
      </w:pPr>
      <w:r w:rsidRPr="006132DB">
        <w:rPr>
          <w:rFonts w:cs="Times New Roman"/>
          <w:i/>
          <w:sz w:val="24"/>
          <w:szCs w:val="24"/>
          <w:shd w:val="clear" w:color="auto" w:fill="FFFFFF"/>
          <w:vertAlign w:val="superscript"/>
          <w:lang w:val="ru-RU"/>
        </w:rPr>
        <w:t>3</w:t>
      </w:r>
      <w:r w:rsidRPr="006132DB">
        <w:rPr>
          <w:rFonts w:cs="Times New Roman"/>
          <w:i/>
          <w:sz w:val="24"/>
          <w:szCs w:val="24"/>
          <w:shd w:val="clear" w:color="auto" w:fill="FFFFFF"/>
          <w:lang w:val="ru-RU"/>
        </w:rPr>
        <w:t>Лаборатория ускорительных исследований, Сомерсет-Уэст, Южная Африка</w:t>
      </w:r>
    </w:p>
    <w:p w14:paraId="56A08E9D" w14:textId="2488444C" w:rsidR="006132DB" w:rsidRDefault="006132DB" w:rsidP="006132DB">
      <w:pPr>
        <w:ind w:firstLine="709"/>
        <w:jc w:val="center"/>
        <w:rPr>
          <w:rStyle w:val="aff8"/>
          <w:rFonts w:cs="Times New Roman"/>
          <w:i/>
          <w:color w:val="auto"/>
          <w:sz w:val="24"/>
          <w:szCs w:val="24"/>
          <w:u w:val="none"/>
          <w:shd w:val="clear" w:color="auto" w:fill="FFFFFF"/>
        </w:rPr>
      </w:pPr>
      <w:r w:rsidRPr="006132DB">
        <w:rPr>
          <w:rFonts w:cs="Times New Roman"/>
          <w:i/>
          <w:sz w:val="24"/>
          <w:szCs w:val="24"/>
          <w:lang w:val="ru-RU"/>
        </w:rPr>
        <w:t>*</w:t>
      </w:r>
      <w:r w:rsidRPr="006132DB">
        <w:rPr>
          <w:rFonts w:cs="Times New Roman"/>
          <w:i/>
          <w:sz w:val="24"/>
          <w:szCs w:val="24"/>
        </w:rPr>
        <w:t>E</w:t>
      </w:r>
      <w:r w:rsidRPr="006132DB">
        <w:rPr>
          <w:rFonts w:cs="Times New Roman"/>
          <w:i/>
          <w:sz w:val="24"/>
          <w:szCs w:val="24"/>
          <w:lang w:val="ru-RU"/>
        </w:rPr>
        <w:t>-</w:t>
      </w:r>
      <w:r w:rsidRPr="006132DB">
        <w:rPr>
          <w:rFonts w:cs="Times New Roman"/>
          <w:i/>
          <w:sz w:val="24"/>
          <w:szCs w:val="24"/>
        </w:rPr>
        <w:t>mail</w:t>
      </w:r>
      <w:r w:rsidRPr="006132DB">
        <w:rPr>
          <w:rFonts w:cs="Times New Roman"/>
          <w:i/>
          <w:sz w:val="24"/>
          <w:szCs w:val="24"/>
          <w:lang w:val="ru-RU"/>
        </w:rPr>
        <w:t xml:space="preserve">: </w:t>
      </w:r>
      <w:hyperlink r:id="rId6" w:history="1">
        <w:r w:rsidRPr="006132DB">
          <w:rPr>
            <w:rStyle w:val="aff8"/>
            <w:rFonts w:cs="Times New Roman"/>
            <w:i/>
            <w:sz w:val="24"/>
            <w:szCs w:val="24"/>
            <w:shd w:val="clear" w:color="auto" w:fill="FFFFFF"/>
          </w:rPr>
          <w:t>pukhaeva</w:t>
        </w:r>
        <w:r w:rsidRPr="006132DB">
          <w:rPr>
            <w:rStyle w:val="aff8"/>
            <w:rFonts w:cs="Times New Roman"/>
            <w:i/>
            <w:sz w:val="24"/>
            <w:szCs w:val="24"/>
            <w:shd w:val="clear" w:color="auto" w:fill="FFFFFF"/>
            <w:lang w:val="ru-RU"/>
          </w:rPr>
          <w:t>@</w:t>
        </w:r>
        <w:r w:rsidRPr="006132DB">
          <w:rPr>
            <w:rStyle w:val="aff8"/>
            <w:rFonts w:cs="Times New Roman"/>
            <w:i/>
            <w:sz w:val="24"/>
            <w:szCs w:val="24"/>
            <w:shd w:val="clear" w:color="auto" w:fill="FFFFFF"/>
          </w:rPr>
          <w:t>jinr</w:t>
        </w:r>
        <w:r w:rsidRPr="006132DB">
          <w:rPr>
            <w:rStyle w:val="aff8"/>
            <w:rFonts w:cs="Times New Roman"/>
            <w:i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6132DB">
          <w:rPr>
            <w:rStyle w:val="aff8"/>
            <w:rFonts w:cs="Times New Roman"/>
            <w:i/>
            <w:sz w:val="24"/>
            <w:szCs w:val="24"/>
            <w:shd w:val="clear" w:color="auto" w:fill="FFFFFF"/>
          </w:rPr>
          <w:t>ru</w:t>
        </w:r>
        <w:proofErr w:type="spellEnd"/>
      </w:hyperlink>
    </w:p>
    <w:p w14:paraId="1AB0D846" w14:textId="77777777" w:rsidR="006132DB" w:rsidRPr="006132DB" w:rsidRDefault="006132DB" w:rsidP="006132DB">
      <w:pPr>
        <w:ind w:firstLine="709"/>
        <w:jc w:val="center"/>
        <w:rPr>
          <w:rFonts w:cs="Times New Roman"/>
          <w:i/>
          <w:sz w:val="24"/>
          <w:szCs w:val="24"/>
          <w:shd w:val="clear" w:color="auto" w:fill="FFFFFF"/>
          <w:lang w:val="ru-RU"/>
        </w:rPr>
      </w:pPr>
    </w:p>
    <w:p w14:paraId="1FD461E0" w14:textId="77777777" w:rsidR="00E60AE7" w:rsidRPr="00871B88" w:rsidRDefault="006132DB">
      <w:pPr>
        <w:spacing w:after="140"/>
        <w:ind w:firstLine="425"/>
        <w:jc w:val="both"/>
        <w:rPr>
          <w:lang w:val="ru-RU"/>
        </w:rPr>
      </w:pPr>
      <w:r w:rsidRPr="00871B88">
        <w:rPr>
          <w:color w:val="000000"/>
          <w:lang w:val="ru-RU"/>
        </w:rPr>
        <w:t xml:space="preserve">Для детекторов редких процессов, включая поиск безнейтринного двойного </w:t>
      </w:r>
      <w:r>
        <w:rPr>
          <w:color w:val="000000"/>
        </w:rPr>
        <w:t>β</w:t>
      </w:r>
      <w:r w:rsidRPr="00871B88">
        <w:rPr>
          <w:color w:val="000000"/>
          <w:lang w:val="ru-RU"/>
        </w:rPr>
        <w:t xml:space="preserve">-распада </w:t>
      </w:r>
      <w:r w:rsidRPr="00871B88">
        <w:rPr>
          <w:color w:val="000000"/>
          <w:vertAlign w:val="superscript"/>
          <w:lang w:val="ru-RU"/>
        </w:rPr>
        <w:t>150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 (</w:t>
      </w:r>
      <w:r>
        <w:rPr>
          <w:i/>
          <w:color w:val="000000"/>
        </w:rPr>
        <w:t>Q</w:t>
      </w:r>
      <w:r>
        <w:rPr>
          <w:i/>
          <w:color w:val="000000"/>
          <w:vertAlign w:val="subscript"/>
        </w:rPr>
        <w:t>ββ</w:t>
      </w:r>
      <w:r w:rsidRPr="00871B88">
        <w:rPr>
          <w:color w:val="000000"/>
          <w:lang w:val="ru-RU"/>
        </w:rPr>
        <w:t xml:space="preserve"> ≈ 3,37 МэВ), представляют интерес оптически активные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-содержащие </w:t>
      </w:r>
      <w:proofErr w:type="spellStart"/>
      <w:r w:rsidRPr="00871B88">
        <w:rPr>
          <w:color w:val="000000"/>
          <w:lang w:val="ru-RU"/>
        </w:rPr>
        <w:t>нанокомпоненты</w:t>
      </w:r>
      <w:proofErr w:type="spellEnd"/>
      <w:r w:rsidRPr="00871B88">
        <w:rPr>
          <w:color w:val="000000"/>
          <w:lang w:val="ru-RU"/>
        </w:rPr>
        <w:t xml:space="preserve">, допускающие последующую интеграцию в органические сцинтилляционные среды. Получены сплавные квантовые точки </w:t>
      </w:r>
      <w:proofErr w:type="spellStart"/>
      <w:r>
        <w:rPr>
          <w:color w:val="000000"/>
        </w:rPr>
        <w:t>CdZnSeS</w:t>
      </w:r>
      <w:proofErr w:type="spellEnd"/>
      <w:r w:rsidRPr="00871B88">
        <w:rPr>
          <w:color w:val="000000"/>
          <w:lang w:val="ru-RU"/>
        </w:rPr>
        <w:t xml:space="preserve"> и выполнено </w:t>
      </w:r>
      <w:proofErr w:type="spellStart"/>
      <w:r w:rsidRPr="00871B88">
        <w:rPr>
          <w:color w:val="000000"/>
          <w:lang w:val="ru-RU"/>
        </w:rPr>
        <w:t>трёхцикловое</w:t>
      </w:r>
      <w:proofErr w:type="spellEnd"/>
      <w:r w:rsidRPr="00871B88">
        <w:rPr>
          <w:color w:val="000000"/>
          <w:lang w:val="ru-RU"/>
        </w:rPr>
        <w:t xml:space="preserve"> формирование </w:t>
      </w:r>
      <w:proofErr w:type="gramStart"/>
      <w:r>
        <w:rPr>
          <w:color w:val="000000"/>
        </w:rPr>
        <w:t>ZnS</w:t>
      </w:r>
      <w:r w:rsidRPr="00871B88">
        <w:rPr>
          <w:color w:val="000000"/>
          <w:lang w:val="ru-RU"/>
        </w:rPr>
        <w:t>(</w:t>
      </w:r>
      <w:proofErr w:type="gramEnd"/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)-содержащего поверхностного слоя с использованием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>-</w:t>
      </w:r>
      <w:proofErr w:type="spellStart"/>
      <w:r w:rsidRPr="00871B88">
        <w:rPr>
          <w:color w:val="000000"/>
          <w:lang w:val="ru-RU"/>
        </w:rPr>
        <w:t>бутилксантатного</w:t>
      </w:r>
      <w:proofErr w:type="spellEnd"/>
      <w:r w:rsidRPr="00871B88">
        <w:rPr>
          <w:color w:val="000000"/>
          <w:lang w:val="ru-RU"/>
        </w:rPr>
        <w:t xml:space="preserve"> прекурсора. Оптические и коллоидные свойства исследовали методами </w:t>
      </w:r>
      <w:r>
        <w:rPr>
          <w:color w:val="000000"/>
        </w:rPr>
        <w:t>UV</w:t>
      </w:r>
      <w:r w:rsidRPr="00871B88">
        <w:rPr>
          <w:color w:val="000000"/>
          <w:lang w:val="ru-RU"/>
        </w:rPr>
        <w:t>–</w:t>
      </w:r>
      <w:r>
        <w:rPr>
          <w:color w:val="000000"/>
        </w:rPr>
        <w:t>Vis</w:t>
      </w:r>
      <w:r w:rsidRPr="00871B88">
        <w:rPr>
          <w:color w:val="000000"/>
          <w:lang w:val="ru-RU"/>
        </w:rPr>
        <w:t>-спектроскопии, фотолюминесценции (</w:t>
      </w:r>
      <w:r>
        <w:rPr>
          <w:color w:val="000000"/>
        </w:rPr>
        <w:t>PL</w:t>
      </w:r>
      <w:r w:rsidRPr="00871B88">
        <w:rPr>
          <w:color w:val="000000"/>
          <w:lang w:val="ru-RU"/>
        </w:rPr>
        <w:t>), спектроскопии возбуждения фотолюминесценции (</w:t>
      </w:r>
      <w:r>
        <w:rPr>
          <w:color w:val="000000"/>
        </w:rPr>
        <w:t>PLE</w:t>
      </w:r>
      <w:r w:rsidRPr="00871B88">
        <w:rPr>
          <w:color w:val="000000"/>
          <w:lang w:val="ru-RU"/>
        </w:rPr>
        <w:t>) и динамического светорассеяния (</w:t>
      </w:r>
      <w:r>
        <w:rPr>
          <w:color w:val="000000"/>
        </w:rPr>
        <w:t>DLS</w:t>
      </w:r>
      <w:r w:rsidRPr="00871B88">
        <w:rPr>
          <w:color w:val="000000"/>
          <w:lang w:val="ru-RU"/>
        </w:rPr>
        <w:t xml:space="preserve">). Эталонная система </w:t>
      </w:r>
      <w:proofErr w:type="spellStart"/>
      <w:r>
        <w:rPr>
          <w:color w:val="000000"/>
        </w:rPr>
        <w:t>CdS</w:t>
      </w:r>
      <w:proofErr w:type="spellEnd"/>
      <w:r w:rsidRPr="00871B88">
        <w:rPr>
          <w:color w:val="000000"/>
          <w:lang w:val="ru-RU"/>
        </w:rPr>
        <w:t>/</w:t>
      </w:r>
      <w:proofErr w:type="gramStart"/>
      <w:r>
        <w:rPr>
          <w:color w:val="000000"/>
        </w:rPr>
        <w:t>ZnS</w:t>
      </w:r>
      <w:r w:rsidRPr="00871B88">
        <w:rPr>
          <w:color w:val="000000"/>
          <w:lang w:val="ru-RU"/>
        </w:rPr>
        <w:t>(</w:t>
      </w:r>
      <w:proofErr w:type="gramEnd"/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 5 %) демонстрирует воспроизводимую синюю </w:t>
      </w:r>
      <w:r>
        <w:rPr>
          <w:color w:val="000000"/>
        </w:rPr>
        <w:t>PL</w:t>
      </w:r>
      <w:r w:rsidRPr="00871B88">
        <w:rPr>
          <w:color w:val="000000"/>
          <w:lang w:val="ru-RU"/>
        </w:rPr>
        <w:t xml:space="preserve"> с максимумом 454,9 ± 0,5 нм, </w:t>
      </w:r>
      <w:r>
        <w:rPr>
          <w:color w:val="000000"/>
        </w:rPr>
        <w:t>FWHM</w:t>
      </w:r>
      <w:r w:rsidRPr="00871B88">
        <w:rPr>
          <w:color w:val="000000"/>
          <w:lang w:val="ru-RU"/>
        </w:rPr>
        <w:t xml:space="preserve"> 25,0 ± 0,1 нм и эффективным возбуждением при длине волны не более 393 нм. Исходные </w:t>
      </w:r>
      <w:proofErr w:type="spellStart"/>
      <w:r>
        <w:rPr>
          <w:color w:val="000000"/>
        </w:rPr>
        <w:t>CdZnSeS</w:t>
      </w:r>
      <w:proofErr w:type="spellEnd"/>
      <w:r w:rsidRPr="00871B88">
        <w:rPr>
          <w:color w:val="000000"/>
          <w:lang w:val="ru-RU"/>
        </w:rPr>
        <w:t xml:space="preserve">-КТ излучают при 506,1 нм с </w:t>
      </w:r>
      <w:r>
        <w:rPr>
          <w:color w:val="000000"/>
        </w:rPr>
        <w:t>FWHM</w:t>
      </w:r>
      <w:r w:rsidRPr="00871B88">
        <w:rPr>
          <w:color w:val="000000"/>
          <w:lang w:val="ru-RU"/>
        </w:rPr>
        <w:t xml:space="preserve"> 45,3 нм и относительным квантовым выходом фотолюминесценции 57 %, тогда как контрольный </w:t>
      </w:r>
      <w:proofErr w:type="gramStart"/>
      <w:r>
        <w:rPr>
          <w:color w:val="000000"/>
        </w:rPr>
        <w:t>ZnS</w:t>
      </w:r>
      <w:r w:rsidRPr="00871B88">
        <w:rPr>
          <w:color w:val="000000"/>
          <w:lang w:val="ru-RU"/>
        </w:rPr>
        <w:t>(</w:t>
      </w:r>
      <w:proofErr w:type="gramEnd"/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) характеризуется широкой полосой около 426,1 нм. После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>/</w:t>
      </w:r>
      <w:r>
        <w:rPr>
          <w:color w:val="000000"/>
        </w:rPr>
        <w:t>ZnS</w:t>
      </w:r>
      <w:r w:rsidRPr="00871B88">
        <w:rPr>
          <w:color w:val="000000"/>
          <w:lang w:val="ru-RU"/>
        </w:rPr>
        <w:t xml:space="preserve">-модификации максимум </w:t>
      </w:r>
      <w:r>
        <w:rPr>
          <w:color w:val="000000"/>
        </w:rPr>
        <w:t>PL</w:t>
      </w:r>
      <w:r w:rsidRPr="00871B88">
        <w:rPr>
          <w:color w:val="000000"/>
          <w:lang w:val="ru-RU"/>
        </w:rPr>
        <w:t xml:space="preserve"> находится при 502,0 нм, </w:t>
      </w:r>
      <w:r>
        <w:rPr>
          <w:color w:val="000000"/>
        </w:rPr>
        <w:t>FWHM</w:t>
      </w:r>
      <w:r w:rsidRPr="00871B88">
        <w:rPr>
          <w:color w:val="000000"/>
          <w:lang w:val="ru-RU"/>
        </w:rPr>
        <w:t xml:space="preserve"> составляет 43,6 нм, а </w:t>
      </w:r>
      <w:r>
        <w:rPr>
          <w:color w:val="000000"/>
        </w:rPr>
        <w:t>Z</w:t>
      </w:r>
      <w:r w:rsidRPr="00871B88">
        <w:rPr>
          <w:color w:val="000000"/>
          <w:lang w:val="ru-RU"/>
        </w:rPr>
        <w:t>-</w:t>
      </w:r>
      <w:r>
        <w:rPr>
          <w:color w:val="000000"/>
        </w:rPr>
        <w:t>average</w:t>
      </w:r>
      <w:r w:rsidRPr="00871B88">
        <w:rPr>
          <w:color w:val="000000"/>
          <w:lang w:val="ru-RU"/>
        </w:rPr>
        <w:t xml:space="preserve"> увеличивается с 11,54 до 14,91 нм; максимум распределения по числу частиц смещается с 7,14 до 8,30 нм. Совокупность спектральных и </w:t>
      </w:r>
      <w:r>
        <w:rPr>
          <w:color w:val="000000"/>
        </w:rPr>
        <w:t>DLS</w:t>
      </w:r>
      <w:r w:rsidRPr="00871B88">
        <w:rPr>
          <w:color w:val="000000"/>
          <w:lang w:val="ru-RU"/>
        </w:rPr>
        <w:t xml:space="preserve">-данных подтверждает образование оптически активного модифицированного коллоидного объекта и согласуется с архитектурой ядро/оболочка. Снижение относительного квантового выхода до 35 % указывает на дополнительные </w:t>
      </w:r>
      <w:proofErr w:type="spellStart"/>
      <w:r w:rsidRPr="00871B88">
        <w:rPr>
          <w:color w:val="000000"/>
          <w:lang w:val="ru-RU"/>
        </w:rPr>
        <w:t>безызлучательные</w:t>
      </w:r>
      <w:proofErr w:type="spellEnd"/>
      <w:r w:rsidRPr="00871B88">
        <w:rPr>
          <w:color w:val="000000"/>
          <w:lang w:val="ru-RU"/>
        </w:rPr>
        <w:t xml:space="preserve"> каналы и необходимость оптимизации межфазной пассивации. В концентрированном </w:t>
      </w:r>
      <w:r>
        <w:rPr>
          <w:color w:val="000000"/>
        </w:rPr>
        <w:t>UV</w:t>
      </w:r>
      <w:r w:rsidRPr="00871B88">
        <w:rPr>
          <w:color w:val="000000"/>
          <w:lang w:val="ru-RU"/>
        </w:rPr>
        <w:t>–</w:t>
      </w:r>
      <w:r>
        <w:rPr>
          <w:color w:val="000000"/>
        </w:rPr>
        <w:t>Vis</w:t>
      </w:r>
      <w:r w:rsidRPr="00871B88">
        <w:rPr>
          <w:color w:val="000000"/>
          <w:lang w:val="ru-RU"/>
        </w:rPr>
        <w:t xml:space="preserve">-образце оптическая плотность достигает предела измерения </w:t>
      </w:r>
      <w:r>
        <w:rPr>
          <w:i/>
          <w:color w:val="000000"/>
        </w:rPr>
        <w:t>A</w:t>
      </w:r>
      <w:r w:rsidRPr="00871B88">
        <w:rPr>
          <w:color w:val="000000"/>
          <w:lang w:val="ru-RU"/>
        </w:rPr>
        <w:t xml:space="preserve"> = 7 ниже 480 нм, тогда как для разбавленной дисперсии </w:t>
      </w:r>
      <w:r>
        <w:rPr>
          <w:i/>
          <w:color w:val="000000"/>
        </w:rPr>
        <w:t>A</w:t>
      </w:r>
      <w:r w:rsidRPr="00871B88">
        <w:rPr>
          <w:color w:val="000000"/>
          <w:lang w:val="ru-RU"/>
        </w:rPr>
        <w:t xml:space="preserve"> = 0,304 при 500 нм. Это подчёркивает необходимость контроля концентрации и самопоглощения при создании сцинтилляционных композиций. Полосы поглощения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-прекурсора около 530, 590, 752, 808 и 879 нм подтверждают его спектральную активность, но сами по себе не доказывают замещение </w:t>
      </w:r>
      <w:r>
        <w:rPr>
          <w:color w:val="000000"/>
        </w:rPr>
        <w:t>Zn</w:t>
      </w:r>
      <w:r w:rsidRPr="00871B88">
        <w:rPr>
          <w:color w:val="000000"/>
          <w:lang w:val="ru-RU"/>
        </w:rPr>
        <w:t xml:space="preserve">²⁺ ионами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³⁺ или прямую </w:t>
      </w:r>
      <w:r>
        <w:rPr>
          <w:color w:val="000000"/>
        </w:rPr>
        <w:t>Nd</w:t>
      </w:r>
      <w:r w:rsidRPr="00871B88">
        <w:rPr>
          <w:color w:val="000000"/>
          <w:lang w:val="ru-RU"/>
        </w:rPr>
        <w:t xml:space="preserve">³⁺-люминесценцию в конечных КТ. Полученные результаты формируют экспериментальную основу для структурной верификации, временно-разрешённой и ближней ИК-спектроскопии, переноса КТ в органическую сцинтилляционную матрицу и последующих </w:t>
      </w:r>
      <w:r>
        <w:rPr>
          <w:color w:val="000000"/>
        </w:rPr>
        <w:t>γ</w:t>
      </w:r>
      <w:r w:rsidRPr="00871B88">
        <w:rPr>
          <w:color w:val="000000"/>
          <w:lang w:val="ru-RU"/>
        </w:rPr>
        <w:t>-испытаний.</w:t>
      </w:r>
    </w:p>
    <w:p w14:paraId="31BB921D" w14:textId="77777777" w:rsidR="00E60AE7" w:rsidRPr="00871B88" w:rsidRDefault="006132DB">
      <w:pPr>
        <w:jc w:val="both"/>
        <w:rPr>
          <w:lang w:val="ru-RU"/>
        </w:rPr>
      </w:pPr>
      <w:r w:rsidRPr="00871B88">
        <w:rPr>
          <w:i/>
          <w:color w:val="000000"/>
          <w:sz w:val="20"/>
          <w:lang w:val="ru-RU"/>
        </w:rPr>
        <w:t>Работа выполнена при поддержке Российского научного фонда, проект № 25-12-00322.</w:t>
      </w:r>
    </w:p>
    <w:sectPr w:rsidR="00E60AE7" w:rsidRPr="00871B88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10707A"/>
    <w:multiLevelType w:val="hybridMultilevel"/>
    <w:tmpl w:val="B6D0F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16174">
    <w:abstractNumId w:val="8"/>
  </w:num>
  <w:num w:numId="2" w16cid:durableId="1635451541">
    <w:abstractNumId w:val="6"/>
  </w:num>
  <w:num w:numId="3" w16cid:durableId="433592514">
    <w:abstractNumId w:val="5"/>
  </w:num>
  <w:num w:numId="4" w16cid:durableId="1528368459">
    <w:abstractNumId w:val="4"/>
  </w:num>
  <w:num w:numId="5" w16cid:durableId="87819003">
    <w:abstractNumId w:val="7"/>
  </w:num>
  <w:num w:numId="6" w16cid:durableId="125586585">
    <w:abstractNumId w:val="3"/>
  </w:num>
  <w:num w:numId="7" w16cid:durableId="1908568039">
    <w:abstractNumId w:val="2"/>
  </w:num>
  <w:num w:numId="8" w16cid:durableId="339280457">
    <w:abstractNumId w:val="1"/>
  </w:num>
  <w:num w:numId="9" w16cid:durableId="2085449634">
    <w:abstractNumId w:val="0"/>
  </w:num>
  <w:num w:numId="10" w16cid:durableId="316493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32DB"/>
    <w:rsid w:val="00871B88"/>
    <w:rsid w:val="0098168C"/>
    <w:rsid w:val="00AA1D8D"/>
    <w:rsid w:val="00B47730"/>
    <w:rsid w:val="00CB0664"/>
    <w:rsid w:val="00D17F11"/>
    <w:rsid w:val="00E60A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1354F"/>
  <w14:defaultImageDpi w14:val="300"/>
  <w15:docId w15:val="{5BEFAC0C-FD2C-4E5A-9941-EBB11C46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132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ukhaeva@jin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Nd/ZnS-модифицированные квантовые точки CdZnSeS как нанокомпоненты сцинтилляционных сред для поиска 0ν2β-распада 150Nd</dc:title>
  <dc:subject>Тезисы доклада для LXXVI Международной конференции ЯДРО-2026</dc:subject>
  <dc:creator>А. М. Пшуков;Н. Е. Пухаева;С. Ю. Дежуров</dc:creator>
  <cp:keywords>150Nd; CdZnSeS; ZnS(Nd); квантовые точки; сцинтилляторы</cp:keywords>
  <dc:description>generated by python-docx</dc:description>
  <cp:lastModifiedBy>Microsoft Office User</cp:lastModifiedBy>
  <cp:revision>2</cp:revision>
  <dcterms:created xsi:type="dcterms:W3CDTF">2026-08-20T09:07:00Z</dcterms:created>
  <dcterms:modified xsi:type="dcterms:W3CDTF">2026-08-20T09:07:00Z</dcterms:modified>
  <cp:category/>
</cp:coreProperties>
</file>