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b w:val="1"/>
          <w:bCs w:val="1"/>
          <w:rtl w:val="0"/>
        </w:rPr>
        <w:t xml:space="preserve">НОВЫЙ ЭКСПЕРИМЕНТАЛЬНЫЙ МЕТОД ИЗУЧЕНИЯ КЛАСТЕРНОЙ СТРУКТУРЫ ЯДЕР С ПОМОЩЬЮ АКТИВНОЙ МИШЕНИ</w:t>
      </w:r>
      <w:r w:rsidDel="00000000" w:rsidR="00000000" w:rsidRPr="00000000">
        <w:rPr>
          <w:rtl w:val="0"/>
        </w:rPr>
      </w:r>
    </w:p>
    <w:p w:rsidR="00000000" w:rsidDel="00000000" w:rsidP="00000000" w:rsidRDefault="00000000" w:rsidRPr="00000000" w14:paraId="00000002">
      <w:pPr>
        <w:widowControl w:val="0"/>
        <w:jc w:val="center"/>
        <w:rPr>
          <w:b w:val="1"/>
          <w:bCs w:val="1"/>
        </w:rPr>
      </w:pPr>
      <w:r w:rsidDel="00000000" w:rsidR="00000000" w:rsidRPr="00000000">
        <w:rPr>
          <w:rtl w:val="0"/>
        </w:rPr>
      </w:r>
    </w:p>
    <w:p w:rsidR="00000000" w:rsidDel="00000000" w:rsidP="00000000" w:rsidRDefault="00000000" w:rsidRPr="00000000" w14:paraId="00000003">
      <w:pPr>
        <w:widowControl w:val="0"/>
        <w:jc w:val="center"/>
        <w:rPr>
          <w:b w:val="1"/>
          <w:bCs w:val="1"/>
          <w:vertAlign w:val="superscript"/>
        </w:rPr>
      </w:pPr>
      <w:r w:rsidDel="00000000" w:rsidR="00000000" w:rsidRPr="00000000">
        <w:rPr>
          <w:b w:val="1"/>
          <w:bCs w:val="1"/>
          <w:rtl w:val="0"/>
        </w:rPr>
        <w:t xml:space="preserve">А. Ю. Арутюнова</w:t>
      </w:r>
      <w:r w:rsidDel="00000000" w:rsidR="00000000" w:rsidRPr="00000000">
        <w:rPr>
          <w:b w:val="1"/>
          <w:bCs w:val="1"/>
          <w:vertAlign w:val="superscript"/>
          <w:rtl w:val="0"/>
        </w:rPr>
        <w:t xml:space="preserve">1</w:t>
      </w:r>
      <w:r w:rsidDel="00000000" w:rsidR="00000000" w:rsidRPr="00000000">
        <w:rPr>
          <w:b w:val="1"/>
          <w:bCs w:val="1"/>
          <w:rtl w:val="0"/>
        </w:rPr>
        <w:t xml:space="preserve">, А. А. Дзюба</w:t>
      </w:r>
      <w:r w:rsidDel="00000000" w:rsidR="00000000" w:rsidRPr="00000000">
        <w:rPr>
          <w:b w:val="1"/>
          <w:bCs w:val="1"/>
          <w:vertAlign w:val="superscript"/>
          <w:rtl w:val="0"/>
        </w:rPr>
        <w:t xml:space="preserve">1,2</w:t>
      </w:r>
      <w:r w:rsidDel="00000000" w:rsidR="00000000" w:rsidRPr="00000000">
        <w:rPr>
          <w:b w:val="1"/>
          <w:bCs w:val="1"/>
          <w:rtl w:val="0"/>
        </w:rPr>
        <w:t xml:space="preserve">, Е. М. Маев</w:t>
      </w:r>
      <w:r w:rsidDel="00000000" w:rsidR="00000000" w:rsidRPr="00000000">
        <w:rPr>
          <w:b w:val="1"/>
          <w:bCs w:val="1"/>
          <w:vertAlign w:val="superscript"/>
          <w:rtl w:val="0"/>
        </w:rPr>
        <w:t xml:space="preserve">1</w:t>
      </w:r>
    </w:p>
    <w:p w:rsidR="00000000" w:rsidDel="00000000" w:rsidP="00000000" w:rsidRDefault="00000000" w:rsidRPr="00000000" w14:paraId="00000004">
      <w:pPr>
        <w:widowControl w:val="0"/>
        <w:jc w:val="center"/>
        <w:rPr/>
      </w:pPr>
      <w:r w:rsidDel="00000000" w:rsidR="00000000" w:rsidRPr="00000000">
        <w:rPr>
          <w:rtl w:val="0"/>
        </w:rPr>
      </w:r>
    </w:p>
    <w:p w:rsidR="00000000" w:rsidDel="00000000" w:rsidP="00000000" w:rsidRDefault="00000000" w:rsidRPr="00000000" w14:paraId="00000005">
      <w:pPr>
        <w:widowControl w:val="0"/>
        <w:jc w:val="center"/>
        <w:rPr>
          <w:sz w:val="22"/>
          <w:szCs w:val="22"/>
        </w:rPr>
      </w:pPr>
      <w:r w:rsidDel="00000000" w:rsidR="00000000" w:rsidRPr="00000000">
        <w:rPr>
          <w:sz w:val="22"/>
          <w:szCs w:val="22"/>
          <w:vertAlign w:val="superscript"/>
          <w:rtl w:val="0"/>
        </w:rPr>
        <w:t xml:space="preserve">1</w:t>
      </w:r>
      <w:r w:rsidDel="00000000" w:rsidR="00000000" w:rsidRPr="00000000">
        <w:rPr>
          <w:sz w:val="22"/>
          <w:szCs w:val="22"/>
          <w:rtl w:val="0"/>
        </w:rPr>
        <w:t xml:space="preserve">НИЦ «Курчатовский институт» – ПИЯФ, Гатчина, Россия</w:t>
      </w:r>
    </w:p>
    <w:p w:rsidR="00000000" w:rsidDel="00000000" w:rsidP="00000000" w:rsidRDefault="00000000" w:rsidRPr="00000000" w14:paraId="00000006">
      <w:pPr>
        <w:widowControl w:val="0"/>
        <w:jc w:val="center"/>
        <w:rPr>
          <w:sz w:val="22"/>
          <w:szCs w:val="22"/>
        </w:rPr>
      </w:pPr>
      <w:r w:rsidDel="00000000" w:rsidR="00000000" w:rsidRPr="00000000">
        <w:rPr>
          <w:sz w:val="22"/>
          <w:szCs w:val="22"/>
          <w:vertAlign w:val="superscript"/>
          <w:rtl w:val="0"/>
        </w:rPr>
        <w:t xml:space="preserve">2</w:t>
      </w:r>
      <w:r w:rsidDel="00000000" w:rsidR="00000000" w:rsidRPr="00000000">
        <w:rPr>
          <w:sz w:val="22"/>
          <w:szCs w:val="22"/>
          <w:rtl w:val="0"/>
        </w:rPr>
        <w:t xml:space="preserve">Санкт-Петербургский государственный университет, Санкт-Петербург, Россия</w:t>
      </w:r>
    </w:p>
    <w:p w:rsidR="00000000" w:rsidDel="00000000" w:rsidP="00000000" w:rsidRDefault="00000000" w:rsidRPr="00000000" w14:paraId="00000007">
      <w:pPr>
        <w:shd w:fill="ffffff" w:val="clear"/>
        <w:tabs>
          <w:tab w:val="left" w:leader="none" w:pos="1003"/>
        </w:tabs>
        <w:jc w:val="center"/>
        <w:rPr>
          <w:sz w:val="22"/>
          <w:szCs w:val="22"/>
        </w:rPr>
      </w:pPr>
      <w:r w:rsidDel="00000000" w:rsidR="00000000" w:rsidRPr="00000000">
        <w:rPr>
          <w:sz w:val="22"/>
          <w:szCs w:val="22"/>
          <w:rtl w:val="0"/>
        </w:rPr>
        <w:t xml:space="preserve">E-mail: arutiunova_ai@pnpi.nrcki.ru</w:t>
      </w:r>
      <w:r w:rsidDel="00000000" w:rsidR="00000000" w:rsidRPr="00000000">
        <w:rPr>
          <w:rtl w:val="0"/>
        </w:rPr>
      </w:r>
    </w:p>
    <w:p w:rsidR="00000000" w:rsidDel="00000000" w:rsidP="00000000" w:rsidRDefault="00000000" w:rsidRPr="00000000" w14:paraId="00000008">
      <w:pPr>
        <w:widowControl w:val="0"/>
        <w:spacing w:before="262" w:line="254" w:lineRule="auto"/>
        <w:ind w:left="142" w:right="139" w:firstLine="708"/>
        <w:jc w:val="both"/>
        <w:rPr/>
      </w:pPr>
      <w:r w:rsidDel="00000000" w:rsidR="00000000" w:rsidRPr="00000000">
        <w:rPr>
          <w:rtl w:val="0"/>
        </w:rPr>
        <w:t xml:space="preserve">Кластерная структура ядер – это образование в ядре малонуклонных систем (в основном дейтронов и альфа-частиц). При неупругом взаимодействии частиц пучка с ядрами мишени возможен процесс выбивания таких кластеров [1, 2]. Изучение этого процесса важно для определения механизма их образования и для получения новой информации о строении ядра, в том числе о его кластерной структуре [3]. Предполагается изучить следующие неупругие реакции: </w:t>
      </w:r>
      <m:oMath>
        <m:r>
          <w:rPr/>
          <m:t xml:space="preserve">p+A</m:t>
        </m:r>
        <m:r>
          <w:rPr/>
          <m:t>→</m:t>
        </m:r>
        <m:r>
          <w:rPr/>
          <m:t xml:space="preserve">p'+Cl+X</m:t>
        </m:r>
      </m:oMath>
      <w:r w:rsidDel="00000000" w:rsidR="00000000" w:rsidRPr="00000000">
        <w:rPr>
          <w:rtl w:val="0"/>
        </w:rPr>
        <w:t xml:space="preserve">, где </w:t>
      </w:r>
      <m:oMath>
        <m:r>
          <w:rPr/>
          <m:t xml:space="preserve">A</m:t>
        </m:r>
      </m:oMath>
      <w:r w:rsidDel="00000000" w:rsidR="00000000" w:rsidRPr="00000000">
        <w:rPr>
          <w:rtl w:val="0"/>
        </w:rPr>
        <w:t xml:space="preserve"> – ядро мишени, </w:t>
      </w:r>
      <m:oMath>
        <m:r>
          <w:rPr/>
          <m:t xml:space="preserve">Cl</m:t>
        </m:r>
      </m:oMath>
      <w:r w:rsidDel="00000000" w:rsidR="00000000" w:rsidRPr="00000000">
        <w:rPr>
          <w:rtl w:val="0"/>
        </w:rPr>
        <w:t xml:space="preserve"> – различные кластеры (например, d, t, </w:t>
      </w:r>
      <w:r w:rsidDel="00000000" w:rsidR="00000000" w:rsidRPr="00000000">
        <w:rPr>
          <w:vertAlign w:val="superscript"/>
          <w:rtl w:val="0"/>
        </w:rPr>
        <w:t xml:space="preserve">3</w:t>
      </w:r>
      <w:r w:rsidDel="00000000" w:rsidR="00000000" w:rsidRPr="00000000">
        <w:rPr>
          <w:rtl w:val="0"/>
        </w:rPr>
        <w:t xml:space="preserve">He и </w:t>
      </w:r>
      <w:r w:rsidDel="00000000" w:rsidR="00000000" w:rsidRPr="00000000">
        <w:rPr>
          <w:vertAlign w:val="superscript"/>
          <w:rtl w:val="0"/>
        </w:rPr>
        <w:t xml:space="preserve">4</w:t>
      </w:r>
      <w:r w:rsidDel="00000000" w:rsidR="00000000" w:rsidRPr="00000000">
        <w:rPr>
          <w:rtl w:val="0"/>
        </w:rPr>
        <w:t xml:space="preserve">He), </w:t>
      </w:r>
      <m:oMath>
        <m:r>
          <w:rPr/>
          <m:t xml:space="preserve">X</m:t>
        </m:r>
      </m:oMath>
      <w:r w:rsidDel="00000000" w:rsidR="00000000" w:rsidRPr="00000000">
        <w:rPr>
          <w:rtl w:val="0"/>
        </w:rPr>
        <w:t xml:space="preserve"> – остаточное ядро, </w:t>
      </w:r>
      <m:oMath>
        <m:r>
          <w:rPr/>
          <m:t xml:space="preserve">p</m:t>
        </m:r>
      </m:oMath>
      <w:r w:rsidDel="00000000" w:rsidR="00000000" w:rsidRPr="00000000">
        <w:rPr>
          <w:rtl w:val="0"/>
        </w:rPr>
        <w:t xml:space="preserve"> и </w:t>
      </w:r>
      <m:oMath>
        <m:r>
          <w:rPr/>
          <m:t xml:space="preserve">p'</m:t>
        </m:r>
      </m:oMath>
      <w:r w:rsidDel="00000000" w:rsidR="00000000" w:rsidRPr="00000000">
        <w:rPr>
          <w:rtl w:val="0"/>
        </w:rPr>
        <w:t xml:space="preserve"> – частицы пучка до и после рассеяния соответственно (возможно использование различных типов частиц пучка). Планируется исследование кластерной структуры большого набора ядер от гелия до ксенона.</w:t>
      </w:r>
    </w:p>
    <w:p w:rsidR="00000000" w:rsidDel="00000000" w:rsidP="00000000" w:rsidRDefault="00000000" w:rsidRPr="00000000" w14:paraId="00000009">
      <w:pPr>
        <w:widowControl w:val="0"/>
        <w:spacing w:line="254" w:lineRule="auto"/>
        <w:ind w:left="142" w:right="139" w:firstLine="708"/>
        <w:jc w:val="both"/>
        <w:rPr/>
      </w:pPr>
      <w:r w:rsidDel="00000000" w:rsidR="00000000" w:rsidRPr="00000000">
        <w:rPr>
          <w:rtl w:val="0"/>
        </w:rPr>
        <w:t xml:space="preserve">Новый метод, предложенный в ПИЯФ с использованием активных мишеней, предполагает значительное уменьшение как статистических так и систематических ошибок. </w:t>
      </w:r>
      <w:r w:rsidDel="00000000" w:rsidR="00000000" w:rsidRPr="00000000">
        <w:rPr>
          <w:rtl w:val="0"/>
        </w:rPr>
        <w:t xml:space="preserve">Предложенный метод позволит впервые получить энергетические спектры выхода кластеров в области малых энергий</w:t>
      </w:r>
      <w:r w:rsidDel="00000000" w:rsidR="00000000" w:rsidRPr="00000000">
        <w:rPr>
          <w:rtl w:val="0"/>
        </w:rPr>
        <w:t xml:space="preserve">. Кроме того метод позволит впервые измерить корреляцию между частицами отдачи в активной мишени и углом рассеяния частиц пучка. </w:t>
      </w:r>
    </w:p>
    <w:p w:rsidR="00000000" w:rsidDel="00000000" w:rsidP="00000000" w:rsidRDefault="00000000" w:rsidRPr="00000000" w14:paraId="0000000A">
      <w:pPr>
        <w:widowControl w:val="0"/>
        <w:spacing w:line="254" w:lineRule="auto"/>
        <w:ind w:left="142" w:right="139" w:firstLine="708"/>
        <w:jc w:val="both"/>
        <w:rPr/>
      </w:pPr>
      <w:r w:rsidDel="00000000" w:rsidR="00000000" w:rsidRPr="00000000">
        <w:rPr>
          <w:rtl w:val="0"/>
        </w:rPr>
        <w:t xml:space="preserve">Активная мишень – ионизационная камера, которая является одновременно мишенью и детектором частиц отдачи. Активная мишень позволяет регистрировать все заряженные продукты реакций неупругого рассеяния частиц пучка на ядрах с энергией от 0.5 МэВ до 40 МэВ с ~100% эффективностью и 4</w:t>
      </w:r>
      <m:oMath>
        <m:r>
          <m:t>π</m:t>
        </m:r>
      </m:oMath>
      <w:r w:rsidDel="00000000" w:rsidR="00000000" w:rsidRPr="00000000">
        <w:rPr>
          <w:rtl w:val="0"/>
        </w:rPr>
        <w:t xml:space="preserve"> геометрией. В настоящий момент идет подготовка к проведению эксперимента на протонном пучке (энергия 1 ГэВ) ускорителя ПИЯФ (Гатчина). Подтверждением эффективности этого метода являются результаты тестового эксперимента на ускорителе MAMI (Майнц, Германия), выполненного на активной мишени, наполненной He+4%N</w:t>
      </w:r>
      <w:r w:rsidDel="00000000" w:rsidR="00000000" w:rsidRPr="00000000">
        <w:rPr>
          <w:vertAlign w:val="subscript"/>
          <w:rtl w:val="0"/>
        </w:rPr>
        <w:t xml:space="preserve">2</w:t>
      </w:r>
      <w:r w:rsidDel="00000000" w:rsidR="00000000" w:rsidRPr="00000000">
        <w:rPr>
          <w:rtl w:val="0"/>
        </w:rPr>
        <w:t xml:space="preserve"> при давлении 10 атм, на электронном пучке с энергией 720 МэВ. Был проведен анализ данных и получены характерные корреляции энергий между соседними анодными кольцами для различных типов кластеров. С помощью корреляций пробег-энергия были вычислены характерные потери энергии на соседних анодах с различными наполнениями для возможных кластеров, которые в дальнейшем будут использоваться для их идентификации. На основании результатов анализа были разработаны необходимые программы для обработки данных с камеры – программы отображения сигналов и анализа их характеристик: собранной энергии и времени, по которым будут определены точка взаимодействия, угол вылета и, соответственно, тип частицы. Представленные результаты подтвердили принципиальную возможность проведения цикла исследований направленного на детальное изучение структуры различных атомных ядер при помощи метода активной мишени.</w:t>
      </w:r>
    </w:p>
    <w:p w:rsidR="00000000" w:rsidDel="00000000" w:rsidP="00000000" w:rsidRDefault="00000000" w:rsidRPr="00000000" w14:paraId="0000000B">
      <w:pPr>
        <w:widowControl w:val="0"/>
        <w:jc w:val="center"/>
        <w:rPr>
          <w:b w:val="1"/>
          <w:bCs w:val="1"/>
          <w:sz w:val="22"/>
          <w:szCs w:val="22"/>
        </w:rPr>
      </w:pPr>
      <w:r w:rsidDel="00000000" w:rsidR="00000000" w:rsidRPr="00000000">
        <w:rPr>
          <w:rtl w:val="0"/>
        </w:rPr>
      </w:r>
    </w:p>
    <w:p w:rsidR="00000000" w:rsidDel="00000000" w:rsidP="00000000" w:rsidRDefault="00000000" w:rsidRPr="00000000" w14:paraId="0000000C">
      <w:pPr>
        <w:widowControl w:val="0"/>
        <w:jc w:val="center"/>
        <w:rPr>
          <w:b w:val="1"/>
          <w:bCs w:val="1"/>
          <w:sz w:val="22"/>
          <w:szCs w:val="22"/>
        </w:rPr>
      </w:pPr>
      <w:r w:rsidDel="00000000" w:rsidR="00000000" w:rsidRPr="00000000">
        <w:rPr>
          <w:b w:val="1"/>
          <w:bCs w:val="1"/>
          <w:sz w:val="22"/>
          <w:szCs w:val="22"/>
          <w:rtl w:val="0"/>
        </w:rPr>
        <w:t xml:space="preserve">Список источников</w:t>
      </w:r>
    </w:p>
    <w:p w:rsidR="00000000" w:rsidDel="00000000" w:rsidP="00000000" w:rsidRDefault="00000000" w:rsidRPr="00000000" w14:paraId="0000000D">
      <w:pPr>
        <w:widowControl w:val="0"/>
        <w:jc w:val="left"/>
        <w:rPr>
          <w:b w:val="1"/>
          <w:bCs w:val="1"/>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t xml:space="preserve">A.M. Poskanzer, G.W. Butler, E.K. Hyde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Phys. Rev. C </w:t>
      </w:r>
      <w:r w:rsidDel="00000000" w:rsidR="00000000" w:rsidRPr="00000000">
        <w:rPr>
          <w:b w:val="1"/>
          <w:bCs w:val="1"/>
          <w:sz w:val="22"/>
          <w:szCs w:val="22"/>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1971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t xml:space="preserve">Е.Н. Вольнин, А.А. Воробьев, В.Т. Грачев,</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Препринт ПИЯФ 101,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1974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t xml:space="preserve">В.С. Барашенков, В.Д. Тонеев</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 Взаимодействия высокоэнергетических частиц и атомных ядер с ядрами,</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1972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sectPr>
      <w:footerReference r:id="rId7" w:type="default"/>
      <w:footerReference r:id="rId8" w:type="even"/>
      <w:pgSz w:h="16838" w:w="11906" w:orient="portrait"/>
      <w:pgMar w:bottom="1418" w:top="1134" w:left="1134" w:right="1134"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905" w:hanging="360"/>
      </w:pPr>
      <w:rPr/>
    </w:lvl>
    <w:lvl w:ilvl="1">
      <w:start w:val="1"/>
      <w:numFmt w:val="lowerLetter"/>
      <w:lvlText w:val="%2."/>
      <w:lvlJc w:val="left"/>
      <w:pPr>
        <w:ind w:left="4625" w:hanging="360"/>
      </w:pPr>
      <w:rPr/>
    </w:lvl>
    <w:lvl w:ilvl="2">
      <w:start w:val="1"/>
      <w:numFmt w:val="lowerRoman"/>
      <w:lvlText w:val="%3."/>
      <w:lvlJc w:val="right"/>
      <w:pPr>
        <w:ind w:left="5345" w:hanging="180"/>
      </w:pPr>
      <w:rPr/>
    </w:lvl>
    <w:lvl w:ilvl="3">
      <w:start w:val="1"/>
      <w:numFmt w:val="decimal"/>
      <w:lvlText w:val="%4."/>
      <w:lvlJc w:val="left"/>
      <w:pPr>
        <w:ind w:left="6065" w:hanging="360"/>
      </w:pPr>
      <w:rPr/>
    </w:lvl>
    <w:lvl w:ilvl="4">
      <w:start w:val="1"/>
      <w:numFmt w:val="lowerLetter"/>
      <w:lvlText w:val="%5."/>
      <w:lvlJc w:val="left"/>
      <w:pPr>
        <w:ind w:left="6785" w:hanging="360"/>
      </w:pPr>
      <w:rPr/>
    </w:lvl>
    <w:lvl w:ilvl="5">
      <w:start w:val="1"/>
      <w:numFmt w:val="lowerRoman"/>
      <w:lvlText w:val="%6."/>
      <w:lvlJc w:val="right"/>
      <w:pPr>
        <w:ind w:left="7505" w:hanging="180"/>
      </w:pPr>
      <w:rPr/>
    </w:lvl>
    <w:lvl w:ilvl="6">
      <w:start w:val="1"/>
      <w:numFmt w:val="decimal"/>
      <w:lvlText w:val="%7."/>
      <w:lvlJc w:val="left"/>
      <w:pPr>
        <w:ind w:left="8225" w:hanging="360"/>
      </w:pPr>
      <w:rPr/>
    </w:lvl>
    <w:lvl w:ilvl="7">
      <w:start w:val="1"/>
      <w:numFmt w:val="lowerLetter"/>
      <w:lvlText w:val="%8."/>
      <w:lvlJc w:val="left"/>
      <w:pPr>
        <w:ind w:left="8945" w:hanging="360"/>
      </w:pPr>
      <w:rPr/>
    </w:lvl>
    <w:lvl w:ilvl="8">
      <w:start w:val="1"/>
      <w:numFmt w:val="lowerRoman"/>
      <w:lvlText w:val="%9."/>
      <w:lvlJc w:val="right"/>
      <w:pPr>
        <w:ind w:left="966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right"/>
    </w:pPr>
    <w:rPr>
      <w:i w:val="1"/>
      <w:iCs w:val="1"/>
      <w:smallCaps w:val="1"/>
      <w:sz w:val="28"/>
      <w:szCs w:val="28"/>
    </w:rPr>
  </w:style>
  <w:style w:type="paragraph" w:styleId="Heading2">
    <w:name w:val="heading 2"/>
    <w:basedOn w:val="Normal"/>
    <w:next w:val="Normal"/>
    <w:pPr>
      <w:keepNext w:val="1"/>
      <w:jc w:val="center"/>
    </w:pPr>
    <w:rPr>
      <w:b w:val="1"/>
      <w:bCs w:val="1"/>
      <w:sz w:val="28"/>
      <w:szCs w:val="28"/>
    </w:rPr>
  </w:style>
  <w:style w:type="paragraph" w:styleId="Heading3">
    <w:name w:val="heading 3"/>
    <w:basedOn w:val="Normal"/>
    <w:next w:val="Normal"/>
    <w:pPr>
      <w:keepNext w:val="1"/>
      <w:ind w:firstLine="612"/>
      <w:jc w:val="both"/>
    </w:pPr>
    <w:rPr>
      <w:b w:val="1"/>
      <w:bCs w:val="1"/>
      <w:sz w:val="28"/>
      <w:szCs w:val="28"/>
    </w:rPr>
  </w:style>
  <w:style w:type="paragraph" w:styleId="Heading4">
    <w:name w:val="heading 4"/>
    <w:basedOn w:val="Normal"/>
    <w:next w:val="Normal"/>
    <w:pPr>
      <w:keepNext w:val="1"/>
      <w:jc w:val="both"/>
    </w:pPr>
    <w:rPr>
      <w:i w:val="1"/>
      <w:i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jc w:val="center"/>
    </w:pPr>
    <w:rPr>
      <w:b w:val="1"/>
      <w:bCs w:val="1"/>
      <w:smallCap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WglKGRpn1hASpm2oajxbXV62wQ==">CgMxLjA4AHIhMWxKVkRYLXBxTHdLVFFvOUFsdE12OWtQYU5LMGJsWDkx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