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16B3" w14:textId="7CE9E207" w:rsidR="002B2532" w:rsidRPr="00A0627F" w:rsidRDefault="00A0627F" w:rsidP="00675244">
      <w:pPr>
        <w:tabs>
          <w:tab w:val="num" w:pos="142"/>
        </w:tabs>
        <w:spacing w:line="240" w:lineRule="auto"/>
        <w:jc w:val="center"/>
        <w:rPr>
          <w:rFonts w:eastAsia="Times New Roman" w:cs="Times New Roman"/>
          <w:b/>
          <w:sz w:val="24"/>
          <w:szCs w:val="24"/>
          <w:lang w:val="en-US"/>
        </w:rPr>
      </w:pPr>
      <w:r w:rsidRPr="00A0627F">
        <w:rPr>
          <w:rFonts w:eastAsia="Times New Roman" w:cs="Times New Roman"/>
          <w:b/>
          <w:sz w:val="24"/>
          <w:szCs w:val="24"/>
          <w:lang w:val="en-US"/>
        </w:rPr>
        <w:t>Determination of the distribution coefficients of elements in the diacetyl/hydrochloric acid system for nuclear medicine applications</w:t>
      </w:r>
    </w:p>
    <w:p w14:paraId="1CD68768" w14:textId="1D29433E" w:rsidR="00675244" w:rsidRPr="00AF5E0A" w:rsidRDefault="000C518C" w:rsidP="00675244">
      <w:pPr>
        <w:tabs>
          <w:tab w:val="num" w:pos="142"/>
        </w:tabs>
        <w:spacing w:line="240" w:lineRule="auto"/>
        <w:jc w:val="center"/>
        <w:rPr>
          <w:rFonts w:cs="Times New Roman"/>
          <w:b/>
          <w:bCs/>
          <w:iCs/>
          <w:lang w:val="en-US"/>
        </w:rPr>
      </w:pPr>
      <w:r w:rsidRPr="00AF5E0A">
        <w:rPr>
          <w:rFonts w:cs="Times New Roman"/>
          <w:b/>
          <w:bCs/>
          <w:iCs/>
          <w:vertAlign w:val="superscript"/>
          <w:lang w:val="en-US"/>
        </w:rPr>
        <w:t>1</w:t>
      </w:r>
      <w:r w:rsidR="009E65C0" w:rsidRPr="00AF5E0A">
        <w:rPr>
          <w:rFonts w:cs="Times New Roman"/>
          <w:b/>
          <w:bCs/>
          <w:iCs/>
          <w:vertAlign w:val="superscript"/>
          <w:lang w:val="en-US"/>
        </w:rPr>
        <w:t>,2</w:t>
      </w:r>
      <w:r w:rsidR="00850149" w:rsidRPr="00850149">
        <w:rPr>
          <w:rFonts w:cs="Times New Roman"/>
          <w:b/>
          <w:bCs/>
          <w:iCs/>
          <w:lang w:val="en-US"/>
        </w:rPr>
        <w:t>Magomedov</w:t>
      </w:r>
      <w:r w:rsidR="00675244" w:rsidRPr="00AF5E0A">
        <w:rPr>
          <w:rFonts w:cs="Times New Roman"/>
          <w:b/>
          <w:bCs/>
          <w:iCs/>
          <w:lang w:val="en-US"/>
        </w:rPr>
        <w:t xml:space="preserve"> </w:t>
      </w:r>
      <w:r w:rsidR="00850149">
        <w:rPr>
          <w:rFonts w:cs="Times New Roman"/>
          <w:b/>
          <w:bCs/>
          <w:iCs/>
          <w:lang w:val="en-US"/>
        </w:rPr>
        <w:t>G</w:t>
      </w:r>
      <w:r w:rsidRPr="00AF5E0A">
        <w:rPr>
          <w:rFonts w:cs="Times New Roman"/>
          <w:b/>
          <w:bCs/>
          <w:iCs/>
          <w:lang w:val="en-US"/>
        </w:rPr>
        <w:t>.</w:t>
      </w:r>
      <w:r w:rsidR="00B46901">
        <w:rPr>
          <w:rFonts w:cs="Times New Roman"/>
          <w:b/>
          <w:bCs/>
          <w:iCs/>
          <w:lang w:val="en-US"/>
        </w:rPr>
        <w:t>Y</w:t>
      </w:r>
      <w:r w:rsidRPr="00AF5E0A">
        <w:rPr>
          <w:rFonts w:cs="Times New Roman"/>
          <w:b/>
          <w:bCs/>
          <w:iCs/>
          <w:lang w:val="en-US"/>
        </w:rPr>
        <w:t>.,</w:t>
      </w:r>
      <w:r w:rsidR="00A271D7" w:rsidRPr="00AF5E0A">
        <w:rPr>
          <w:rFonts w:cs="Times New Roman"/>
          <w:b/>
          <w:bCs/>
          <w:iCs/>
          <w:lang w:val="en-US"/>
        </w:rPr>
        <w:t xml:space="preserve"> </w:t>
      </w:r>
      <w:r w:rsidR="009E65C0" w:rsidRPr="00AF5E0A">
        <w:rPr>
          <w:rFonts w:cs="Times New Roman"/>
          <w:b/>
          <w:bCs/>
          <w:iCs/>
          <w:vertAlign w:val="superscript"/>
          <w:lang w:val="en-US"/>
        </w:rPr>
        <w:t>2</w:t>
      </w:r>
      <w:r w:rsidR="00A271D7" w:rsidRPr="00AF5E0A">
        <w:rPr>
          <w:rFonts w:cs="Times New Roman"/>
          <w:b/>
          <w:bCs/>
          <w:iCs/>
          <w:vertAlign w:val="superscript"/>
          <w:lang w:val="en-US"/>
        </w:rPr>
        <w:t>,</w:t>
      </w:r>
      <w:r w:rsidR="009E65C0" w:rsidRPr="00AF5E0A">
        <w:rPr>
          <w:rFonts w:cs="Times New Roman"/>
          <w:b/>
          <w:bCs/>
          <w:iCs/>
          <w:vertAlign w:val="superscript"/>
          <w:lang w:val="en-US"/>
        </w:rPr>
        <w:t>3</w:t>
      </w:r>
      <w:r w:rsidR="00B46901" w:rsidRPr="00B46901">
        <w:rPr>
          <w:rFonts w:cs="Times New Roman"/>
          <w:b/>
          <w:bCs/>
          <w:iCs/>
          <w:lang w:val="en-US"/>
        </w:rPr>
        <w:t>Mirzayev</w:t>
      </w:r>
      <w:r w:rsidR="00A271D7" w:rsidRPr="00AF5E0A">
        <w:rPr>
          <w:rFonts w:cs="Times New Roman"/>
          <w:b/>
          <w:bCs/>
          <w:iCs/>
          <w:lang w:val="en-US"/>
        </w:rPr>
        <w:t xml:space="preserve"> </w:t>
      </w:r>
      <w:r w:rsidR="00B46901">
        <w:rPr>
          <w:rFonts w:cs="Times New Roman"/>
          <w:b/>
          <w:bCs/>
          <w:iCs/>
          <w:lang w:val="en-US"/>
        </w:rPr>
        <w:t>N</w:t>
      </w:r>
      <w:r w:rsidR="00A271D7" w:rsidRPr="00AF5E0A">
        <w:rPr>
          <w:rFonts w:cs="Times New Roman"/>
          <w:b/>
          <w:bCs/>
          <w:iCs/>
          <w:lang w:val="en-US"/>
        </w:rPr>
        <w:t>.</w:t>
      </w:r>
      <w:r w:rsidR="00B46901">
        <w:rPr>
          <w:rFonts w:cs="Times New Roman"/>
          <w:b/>
          <w:bCs/>
          <w:iCs/>
          <w:lang w:val="en-US"/>
        </w:rPr>
        <w:t>A</w:t>
      </w:r>
      <w:r w:rsidR="00A271D7" w:rsidRPr="00AF5E0A">
        <w:rPr>
          <w:rFonts w:cs="Times New Roman"/>
          <w:b/>
          <w:bCs/>
          <w:iCs/>
          <w:lang w:val="en-US"/>
        </w:rPr>
        <w:t>.,</w:t>
      </w:r>
      <w:r w:rsidR="008114EA" w:rsidRPr="00AF5E0A">
        <w:rPr>
          <w:rFonts w:cs="Times New Roman"/>
          <w:b/>
          <w:bCs/>
          <w:iCs/>
          <w:lang w:val="en-US"/>
        </w:rPr>
        <w:t xml:space="preserve"> </w:t>
      </w:r>
      <w:r w:rsidR="009E65C0" w:rsidRPr="00AF5E0A">
        <w:rPr>
          <w:rFonts w:cs="Times New Roman"/>
          <w:b/>
          <w:bCs/>
          <w:iCs/>
          <w:vertAlign w:val="superscript"/>
          <w:lang w:val="en-US"/>
        </w:rPr>
        <w:t>3,4</w:t>
      </w:r>
      <w:r w:rsidR="00B46901" w:rsidRPr="00B46901">
        <w:rPr>
          <w:rFonts w:cs="Times New Roman"/>
          <w:b/>
          <w:bCs/>
          <w:iCs/>
          <w:lang w:val="en-US"/>
        </w:rPr>
        <w:t>Baimukhanova</w:t>
      </w:r>
      <w:r w:rsidR="009E65C0" w:rsidRPr="00AF5E0A">
        <w:rPr>
          <w:rFonts w:cs="Times New Roman"/>
          <w:b/>
          <w:bCs/>
          <w:iCs/>
          <w:lang w:val="en-US"/>
        </w:rPr>
        <w:t> </w:t>
      </w:r>
      <w:r w:rsidR="00B46901">
        <w:rPr>
          <w:rFonts w:cs="Times New Roman"/>
          <w:b/>
          <w:bCs/>
          <w:iCs/>
          <w:lang w:val="en-US"/>
        </w:rPr>
        <w:t>A</w:t>
      </w:r>
      <w:r w:rsidR="00A271D7" w:rsidRPr="00AF5E0A">
        <w:rPr>
          <w:rFonts w:cs="Times New Roman"/>
          <w:b/>
          <w:bCs/>
          <w:iCs/>
          <w:lang w:val="en-US"/>
        </w:rPr>
        <w:t>.</w:t>
      </w:r>
      <w:r w:rsidR="00B46901">
        <w:rPr>
          <w:rFonts w:cs="Times New Roman"/>
          <w:b/>
          <w:bCs/>
          <w:iCs/>
          <w:lang w:val="en-US"/>
        </w:rPr>
        <w:t>E</w:t>
      </w:r>
      <w:r w:rsidR="00A271D7" w:rsidRPr="00AF5E0A">
        <w:rPr>
          <w:rFonts w:cs="Times New Roman"/>
          <w:b/>
          <w:bCs/>
          <w:iCs/>
          <w:lang w:val="en-US"/>
        </w:rPr>
        <w:t>.,</w:t>
      </w:r>
      <w:r w:rsidR="00D3396C" w:rsidRPr="00AF5E0A">
        <w:rPr>
          <w:rFonts w:cs="Times New Roman"/>
          <w:b/>
          <w:bCs/>
          <w:iCs/>
          <w:lang w:val="en-US"/>
        </w:rPr>
        <w:t xml:space="preserve"> </w:t>
      </w:r>
      <w:r w:rsidR="009E65C0" w:rsidRPr="00AF5E0A">
        <w:rPr>
          <w:rFonts w:cs="Times New Roman"/>
          <w:b/>
          <w:bCs/>
          <w:iCs/>
          <w:vertAlign w:val="superscript"/>
          <w:lang w:val="en-US"/>
        </w:rPr>
        <w:t>1</w:t>
      </w:r>
      <w:r w:rsidR="00B46901" w:rsidRPr="00B46901">
        <w:rPr>
          <w:rFonts w:cs="Times New Roman"/>
          <w:b/>
          <w:bCs/>
          <w:iCs/>
          <w:lang w:val="en-US"/>
        </w:rPr>
        <w:t>Magomedbekov</w:t>
      </w:r>
      <w:r w:rsidR="009E65C0" w:rsidRPr="00AF5E0A">
        <w:rPr>
          <w:rFonts w:cs="Times New Roman"/>
          <w:b/>
          <w:bCs/>
          <w:iCs/>
          <w:lang w:val="en-US"/>
        </w:rPr>
        <w:t xml:space="preserve"> </w:t>
      </w:r>
      <w:r w:rsidR="00B46901">
        <w:rPr>
          <w:rFonts w:cs="Times New Roman"/>
          <w:b/>
          <w:bCs/>
          <w:iCs/>
          <w:lang w:val="en-US"/>
        </w:rPr>
        <w:t>E</w:t>
      </w:r>
      <w:r w:rsidR="009E65C0" w:rsidRPr="00AF5E0A">
        <w:rPr>
          <w:rFonts w:cs="Times New Roman"/>
          <w:b/>
          <w:bCs/>
          <w:iCs/>
          <w:lang w:val="en-US"/>
        </w:rPr>
        <w:t>.</w:t>
      </w:r>
      <w:r w:rsidR="00B46901">
        <w:rPr>
          <w:rFonts w:cs="Times New Roman"/>
          <w:b/>
          <w:bCs/>
          <w:iCs/>
          <w:lang w:val="en-US"/>
        </w:rPr>
        <w:t>P</w:t>
      </w:r>
      <w:r w:rsidR="009E65C0" w:rsidRPr="00AF5E0A">
        <w:rPr>
          <w:rFonts w:cs="Times New Roman"/>
          <w:b/>
          <w:bCs/>
          <w:iCs/>
          <w:lang w:val="en-US"/>
        </w:rPr>
        <w:t xml:space="preserve">., </w:t>
      </w:r>
      <w:r w:rsidR="009E65C0" w:rsidRPr="00AF5E0A">
        <w:rPr>
          <w:rFonts w:cs="Times New Roman"/>
          <w:b/>
          <w:bCs/>
          <w:iCs/>
          <w:vertAlign w:val="superscript"/>
          <w:lang w:val="en-US"/>
        </w:rPr>
        <w:t>2</w:t>
      </w:r>
      <w:r w:rsidR="00B46901" w:rsidRPr="00B46901">
        <w:rPr>
          <w:rFonts w:cs="Times New Roman"/>
          <w:b/>
          <w:bCs/>
          <w:iCs/>
          <w:lang w:val="en-US"/>
        </w:rPr>
        <w:t>Filosofov</w:t>
      </w:r>
      <w:r w:rsidR="00D3396C" w:rsidRPr="00AF5E0A">
        <w:rPr>
          <w:rFonts w:cs="Times New Roman"/>
          <w:b/>
          <w:bCs/>
          <w:iCs/>
          <w:lang w:val="en-US"/>
        </w:rPr>
        <w:t xml:space="preserve"> </w:t>
      </w:r>
      <w:r w:rsidR="00B46901">
        <w:rPr>
          <w:rFonts w:cs="Times New Roman"/>
          <w:b/>
          <w:bCs/>
          <w:iCs/>
          <w:lang w:val="en-US"/>
        </w:rPr>
        <w:t>D</w:t>
      </w:r>
      <w:r w:rsidRPr="00AF5E0A">
        <w:rPr>
          <w:rFonts w:cs="Times New Roman"/>
          <w:b/>
          <w:bCs/>
          <w:iCs/>
          <w:lang w:val="en-US"/>
        </w:rPr>
        <w:t>.</w:t>
      </w:r>
      <w:r w:rsidR="00B46901">
        <w:rPr>
          <w:rFonts w:cs="Times New Roman"/>
          <w:b/>
          <w:bCs/>
          <w:iCs/>
          <w:lang w:val="en-US"/>
        </w:rPr>
        <w:t>V</w:t>
      </w:r>
      <w:r w:rsidRPr="00AF5E0A">
        <w:rPr>
          <w:rFonts w:cs="Times New Roman"/>
          <w:b/>
          <w:bCs/>
          <w:iCs/>
          <w:lang w:val="en-US"/>
        </w:rPr>
        <w:t>.</w:t>
      </w:r>
      <w:r w:rsidR="00675244" w:rsidRPr="00AF5E0A">
        <w:rPr>
          <w:rFonts w:cs="Times New Roman"/>
          <w:b/>
          <w:bCs/>
          <w:iCs/>
          <w:lang w:val="en-US"/>
        </w:rPr>
        <w:t xml:space="preserve"> </w:t>
      </w:r>
    </w:p>
    <w:p w14:paraId="2734193B" w14:textId="77777777" w:rsidR="008E14EA" w:rsidRPr="00AF5E0A" w:rsidRDefault="008E14EA" w:rsidP="00675244">
      <w:pPr>
        <w:tabs>
          <w:tab w:val="num" w:pos="142"/>
        </w:tabs>
        <w:spacing w:line="240" w:lineRule="auto"/>
        <w:jc w:val="center"/>
        <w:rPr>
          <w:rFonts w:cs="Times New Roman"/>
          <w:vertAlign w:val="superscript"/>
          <w:lang w:val="en-US"/>
        </w:rPr>
      </w:pPr>
    </w:p>
    <w:p w14:paraId="56621B0C" w14:textId="70B33360" w:rsidR="005806B5" w:rsidRPr="005806B5" w:rsidRDefault="009E65C0" w:rsidP="00675244">
      <w:pPr>
        <w:tabs>
          <w:tab w:val="num" w:pos="142"/>
        </w:tabs>
        <w:spacing w:line="240" w:lineRule="auto"/>
        <w:jc w:val="center"/>
        <w:rPr>
          <w:rFonts w:cs="Times New Roman"/>
          <w:lang w:val="en-US"/>
        </w:rPr>
      </w:pPr>
      <w:r w:rsidRPr="005806B5">
        <w:rPr>
          <w:rFonts w:cs="Times New Roman"/>
          <w:vertAlign w:val="superscript"/>
          <w:lang w:val="en-US"/>
        </w:rPr>
        <w:t>1</w:t>
      </w:r>
      <w:r w:rsidR="005806B5" w:rsidRPr="005806B5">
        <w:rPr>
          <w:rFonts w:cs="Times New Roman"/>
          <w:lang w:val="en-US"/>
        </w:rPr>
        <w:t>Mendeleev University of Chemical Technology, Russian Federation</w:t>
      </w:r>
    </w:p>
    <w:p w14:paraId="4F4FF81B" w14:textId="5B05251D" w:rsidR="005806B5" w:rsidRPr="005806B5" w:rsidRDefault="009E65C0" w:rsidP="00232C05">
      <w:pPr>
        <w:tabs>
          <w:tab w:val="num" w:pos="142"/>
        </w:tabs>
        <w:spacing w:line="240" w:lineRule="auto"/>
        <w:jc w:val="center"/>
        <w:rPr>
          <w:rFonts w:cs="Times New Roman"/>
          <w:lang w:val="en-US"/>
        </w:rPr>
      </w:pPr>
      <w:r w:rsidRPr="005806B5">
        <w:rPr>
          <w:rFonts w:cs="Times New Roman"/>
          <w:vertAlign w:val="superscript"/>
          <w:lang w:val="en-US"/>
        </w:rPr>
        <w:t>2</w:t>
      </w:r>
      <w:r w:rsidR="005806B5" w:rsidRPr="005806B5">
        <w:rPr>
          <w:rFonts w:cs="Times New Roman"/>
          <w:lang w:val="en-US"/>
        </w:rPr>
        <w:t>Joint Institute for Nuclear Research, Russian Federation</w:t>
      </w:r>
    </w:p>
    <w:p w14:paraId="5367E0F4" w14:textId="4B98E206" w:rsidR="005806B5" w:rsidRPr="005806B5" w:rsidRDefault="009E65C0" w:rsidP="005806B5">
      <w:pPr>
        <w:tabs>
          <w:tab w:val="num" w:pos="142"/>
        </w:tabs>
        <w:spacing w:line="240" w:lineRule="auto"/>
        <w:jc w:val="center"/>
        <w:rPr>
          <w:rFonts w:cs="Times New Roman"/>
          <w:lang w:val="en-US"/>
        </w:rPr>
      </w:pPr>
      <w:r w:rsidRPr="005806B5">
        <w:rPr>
          <w:rFonts w:cs="Times New Roman"/>
          <w:vertAlign w:val="superscript"/>
          <w:lang w:val="en-US"/>
        </w:rPr>
        <w:t>3</w:t>
      </w:r>
      <w:r w:rsidR="005806B5" w:rsidRPr="005806B5">
        <w:rPr>
          <w:rFonts w:cs="Times New Roman"/>
          <w:lang w:val="en-US"/>
        </w:rPr>
        <w:t>Institute of Physics Ministry of Science and Education of Azerbaijan Republic, Azerbaijan</w:t>
      </w:r>
    </w:p>
    <w:p w14:paraId="42EE62D7" w14:textId="77777777" w:rsidR="005806B5" w:rsidRDefault="009E65C0" w:rsidP="005806B5">
      <w:pPr>
        <w:tabs>
          <w:tab w:val="num" w:pos="142"/>
        </w:tabs>
        <w:spacing w:line="240" w:lineRule="auto"/>
        <w:jc w:val="center"/>
        <w:rPr>
          <w:rFonts w:eastAsia="Times New Roman" w:cs="Times New Roman"/>
        </w:rPr>
      </w:pPr>
      <w:r w:rsidRPr="005806B5">
        <w:rPr>
          <w:rFonts w:eastAsia="Times New Roman" w:cs="Times New Roman"/>
          <w:vertAlign w:val="superscript"/>
          <w:lang w:val="en-US"/>
        </w:rPr>
        <w:t>4</w:t>
      </w:r>
      <w:r w:rsidR="005806B5" w:rsidRPr="005806B5">
        <w:rPr>
          <w:rFonts w:eastAsia="Times New Roman" w:cs="Times New Roman"/>
          <w:lang w:val="en-US"/>
        </w:rPr>
        <w:t>Institute of Nuclear Physics of the Republic of Kazakhstan, Almaty, Kazakhstan</w:t>
      </w:r>
    </w:p>
    <w:p w14:paraId="3DC855D3" w14:textId="5C15947D" w:rsidR="00987905" w:rsidRPr="00F64221" w:rsidRDefault="008E14EA" w:rsidP="005806B5">
      <w:pPr>
        <w:tabs>
          <w:tab w:val="num" w:pos="142"/>
        </w:tabs>
        <w:spacing w:line="240" w:lineRule="auto"/>
        <w:jc w:val="center"/>
        <w:rPr>
          <w:rFonts w:eastAsia="Times New Roman" w:cs="Times New Roman"/>
          <w:color w:val="000000" w:themeColor="text1"/>
          <w:lang w:val="en-US"/>
        </w:rPr>
      </w:pPr>
      <w:r w:rsidRPr="008E14EA">
        <w:rPr>
          <w:rFonts w:eastAsia="Times New Roman" w:cs="Times New Roman"/>
          <w:lang w:val="en-US"/>
        </w:rPr>
        <w:t>E</w:t>
      </w:r>
      <w:r w:rsidR="00675244" w:rsidRPr="00F64221">
        <w:rPr>
          <w:rFonts w:eastAsia="Times New Roman" w:cs="Times New Roman"/>
          <w:lang w:val="en-US"/>
        </w:rPr>
        <w:t>-</w:t>
      </w:r>
      <w:r w:rsidR="00675244" w:rsidRPr="008E14EA">
        <w:rPr>
          <w:rFonts w:eastAsia="Times New Roman" w:cs="Times New Roman"/>
          <w:lang w:val="en-US"/>
        </w:rPr>
        <w:t>mail</w:t>
      </w:r>
      <w:r w:rsidR="00675244" w:rsidRPr="00F64221">
        <w:rPr>
          <w:rFonts w:eastAsia="Times New Roman" w:cs="Times New Roman"/>
          <w:lang w:val="en-US"/>
        </w:rPr>
        <w:t xml:space="preserve">: </w:t>
      </w:r>
      <w:hyperlink r:id="rId7" w:history="1">
        <w:r w:rsidR="00AF5E0A" w:rsidRPr="00F64221">
          <w:rPr>
            <w:rStyle w:val="a8"/>
            <w:lang w:val="en-US"/>
          </w:rPr>
          <w:t>magomedov@jinr.ru</w:t>
        </w:r>
      </w:hyperlink>
    </w:p>
    <w:p w14:paraId="7755CE63" w14:textId="77777777" w:rsidR="00AF5E0A" w:rsidRPr="00F64221" w:rsidRDefault="00AF5E0A" w:rsidP="00AF5E0A">
      <w:pPr>
        <w:widowControl w:val="0"/>
        <w:spacing w:line="240" w:lineRule="auto"/>
        <w:jc w:val="center"/>
        <w:rPr>
          <w:rFonts w:eastAsia="Times New Roman" w:cs="Times New Roman"/>
          <w:color w:val="000000" w:themeColor="text1"/>
          <w:lang w:val="en-US"/>
        </w:rPr>
      </w:pPr>
    </w:p>
    <w:p w14:paraId="0C51350E" w14:textId="7B2C8481" w:rsidR="00AF5E0A" w:rsidRPr="00AF5E0A" w:rsidRDefault="00AF5E0A" w:rsidP="00AF5E0A">
      <w:pPr>
        <w:spacing w:line="240" w:lineRule="auto"/>
        <w:ind w:firstLine="425"/>
        <w:jc w:val="both"/>
        <w:rPr>
          <w:color w:val="222222"/>
          <w:sz w:val="24"/>
          <w:szCs w:val="24"/>
          <w:shd w:val="clear" w:color="auto" w:fill="FFFFFF"/>
          <w:lang/>
        </w:rPr>
      </w:pPr>
      <w:r w:rsidRPr="00AF5E0A">
        <w:rPr>
          <w:color w:val="222222"/>
          <w:sz w:val="24"/>
          <w:szCs w:val="24"/>
          <w:shd w:val="clear" w:color="auto" w:fill="FFFFFF"/>
          <w:lang/>
        </w:rPr>
        <w:t>The development of selective radiochemical separation systems is an important prerequisite for the production, purification, and quality control of radionuclides used in nuclear medicine</w:t>
      </w:r>
      <w:r w:rsidR="00F64221" w:rsidRPr="00F64221">
        <w:rPr>
          <w:color w:val="222222"/>
          <w:sz w:val="24"/>
          <w:szCs w:val="24"/>
          <w:shd w:val="clear" w:color="auto" w:fill="FFFFFF"/>
          <w:lang w:val="en-US"/>
        </w:rPr>
        <w:t xml:space="preserve"> </w:t>
      </w:r>
      <w:r w:rsidR="00F64221">
        <w:rPr>
          <w:color w:val="222222"/>
          <w:sz w:val="24"/>
          <w:szCs w:val="24"/>
          <w:shd w:val="clear" w:color="auto" w:fill="FFFFFF"/>
          <w:lang w:val="en-US"/>
        </w:rPr>
        <w:t>[1]</w:t>
      </w:r>
      <w:r w:rsidRPr="00AF5E0A">
        <w:rPr>
          <w:color w:val="222222"/>
          <w:sz w:val="24"/>
          <w:szCs w:val="24"/>
          <w:shd w:val="clear" w:color="auto" w:fill="FFFFFF"/>
          <w:lang/>
        </w:rPr>
        <w:t>. Distribution coefficients</w:t>
      </w:r>
      <w:r w:rsidRPr="00AF5E0A">
        <w:rPr>
          <w:color w:val="222222"/>
          <w:sz w:val="24"/>
          <w:szCs w:val="24"/>
          <w:shd w:val="clear" w:color="auto" w:fill="FFFFFF"/>
          <w:lang w:val="en-US"/>
        </w:rPr>
        <w:t xml:space="preserve"> (</w:t>
      </w:r>
      <w:r w:rsidRPr="00AF5E0A">
        <w:rPr>
          <w:color w:val="222222"/>
          <w:sz w:val="24"/>
          <w:szCs w:val="24"/>
          <w:shd w:val="clear" w:color="auto" w:fill="FFFFFF"/>
          <w:lang/>
        </w:rPr>
        <w:t>K</w:t>
      </w:r>
      <w:r w:rsidRPr="00114C9C">
        <w:rPr>
          <w:color w:val="222222"/>
          <w:sz w:val="24"/>
          <w:szCs w:val="24"/>
          <w:shd w:val="clear" w:color="auto" w:fill="FFFFFF"/>
          <w:vertAlign w:val="subscript"/>
          <w:lang/>
        </w:rPr>
        <w:t>d</w:t>
      </w:r>
      <w:r w:rsidRPr="00AF5E0A">
        <w:rPr>
          <w:color w:val="222222"/>
          <w:sz w:val="24"/>
          <w:szCs w:val="24"/>
          <w:shd w:val="clear" w:color="auto" w:fill="FFFFFF"/>
          <w:lang w:val="en-US"/>
        </w:rPr>
        <w:t>)</w:t>
      </w:r>
      <w:r w:rsidRPr="00AF5E0A">
        <w:rPr>
          <w:color w:val="222222"/>
          <w:sz w:val="24"/>
          <w:szCs w:val="24"/>
          <w:shd w:val="clear" w:color="auto" w:fill="FFFFFF"/>
          <w:lang/>
        </w:rPr>
        <w:t>​ provide quantitative information on the affinity of elements toward a selected sorption material and therefore represent a key parameter for evaluating separation selectivity, optimizing elution conditions, and predicting impurity behavior in radiochemical processes</w:t>
      </w:r>
      <w:r w:rsidR="00F64221">
        <w:rPr>
          <w:color w:val="222222"/>
          <w:sz w:val="24"/>
          <w:szCs w:val="24"/>
          <w:shd w:val="clear" w:color="auto" w:fill="FFFFFF"/>
          <w:lang w:val="en-US"/>
        </w:rPr>
        <w:t xml:space="preserve"> [2]</w:t>
      </w:r>
      <w:r w:rsidRPr="00AF5E0A">
        <w:rPr>
          <w:color w:val="222222"/>
          <w:sz w:val="24"/>
          <w:szCs w:val="24"/>
          <w:shd w:val="clear" w:color="auto" w:fill="FFFFFF"/>
          <w:lang/>
        </w:rPr>
        <w:t>. In this work, the distribution coefficients of selected elements were determined in the diacetyl/hydrochloric acid system using two sorption materials with different functional properties: the strong-acid cation-exchange resin DOWEX 50WX8 and the chelating resin Chelex 100.</w:t>
      </w:r>
    </w:p>
    <w:p w14:paraId="226D1BA6" w14:textId="028E3578" w:rsidR="00AF5E0A" w:rsidRPr="00AF5E0A" w:rsidRDefault="00AF5E0A" w:rsidP="00AF5E0A">
      <w:pPr>
        <w:spacing w:line="240" w:lineRule="auto"/>
        <w:ind w:firstLine="425"/>
        <w:jc w:val="both"/>
        <w:rPr>
          <w:color w:val="222222"/>
          <w:sz w:val="24"/>
          <w:szCs w:val="24"/>
          <w:shd w:val="clear" w:color="auto" w:fill="FFFFFF"/>
          <w:lang/>
        </w:rPr>
      </w:pPr>
      <w:r w:rsidRPr="00AF5E0A">
        <w:rPr>
          <w:color w:val="222222"/>
          <w:sz w:val="24"/>
          <w:szCs w:val="24"/>
          <w:shd w:val="clear" w:color="auto" w:fill="FFFFFF"/>
          <w:lang/>
        </w:rPr>
        <w:t>Static batch experiments were carried out in hydrochloric acid media of two concentrations, 0.1 and 0.3 M HCl, with different diacetyl contents: 0, 20, 90, and 95%. These experimental points were selected to evaluate the influence of both acid concentration and organic solvent fraction on the retention of elements. Resin samples were contacted with solutions containing known concentrations of the studied elements until equilibrium was reached. After equilibration, the liquid phase was separated, and elemental concentrations were determined by inductively coupled plasma mass spectrometry, ICP-MS. The obtained equilibrium concentrations were used to calculate K</w:t>
      </w:r>
      <w:r w:rsidRPr="00114C9C">
        <w:rPr>
          <w:color w:val="222222"/>
          <w:sz w:val="24"/>
          <w:szCs w:val="24"/>
          <w:shd w:val="clear" w:color="auto" w:fill="FFFFFF"/>
          <w:vertAlign w:val="subscript"/>
          <w:lang/>
        </w:rPr>
        <w:t>d</w:t>
      </w:r>
      <w:r w:rsidRPr="00AF5E0A">
        <w:rPr>
          <w:color w:val="222222"/>
          <w:sz w:val="24"/>
          <w:szCs w:val="24"/>
          <w:shd w:val="clear" w:color="auto" w:fill="FFFFFF"/>
          <w:lang/>
        </w:rPr>
        <w:t>​ values and to compare the sorption behavior of elements on DOWEX 50WX8 and Chelex 100 under identical chemical conditions.</w:t>
      </w:r>
    </w:p>
    <w:p w14:paraId="4ECA86AC" w14:textId="7C84D783" w:rsidR="00AF5E0A" w:rsidRPr="00AF5E0A" w:rsidRDefault="00AF5E0A" w:rsidP="00AF5E0A">
      <w:pPr>
        <w:spacing w:line="240" w:lineRule="auto"/>
        <w:ind w:firstLine="425"/>
        <w:jc w:val="both"/>
        <w:rPr>
          <w:color w:val="222222"/>
          <w:sz w:val="24"/>
          <w:szCs w:val="24"/>
          <w:shd w:val="clear" w:color="auto" w:fill="FFFFFF"/>
          <w:lang/>
        </w:rPr>
      </w:pPr>
      <w:r w:rsidRPr="00AF5E0A">
        <w:rPr>
          <w:color w:val="222222"/>
          <w:sz w:val="24"/>
          <w:szCs w:val="24"/>
          <w:shd w:val="clear" w:color="auto" w:fill="FFFFFF"/>
          <w:lang/>
        </w:rPr>
        <w:t>Diacetyl was selected as the organic component because it can modify the solvent environment and act as a neutral solvating medium. This property may influence metal ion speciation, solvation, and interaction with functional groups of ion-exchange or chelating resins</w:t>
      </w:r>
      <w:r w:rsidR="008F011D" w:rsidRPr="008F011D">
        <w:rPr>
          <w:color w:val="222222"/>
          <w:sz w:val="24"/>
          <w:szCs w:val="24"/>
          <w:shd w:val="clear" w:color="auto" w:fill="FFFFFF"/>
          <w:lang w:val="en-US"/>
        </w:rPr>
        <w:t xml:space="preserve"> </w:t>
      </w:r>
      <w:r w:rsidR="008F011D">
        <w:rPr>
          <w:color w:val="222222"/>
          <w:sz w:val="24"/>
          <w:szCs w:val="24"/>
          <w:shd w:val="clear" w:color="auto" w:fill="FFFFFF"/>
          <w:lang w:val="en-US"/>
        </w:rPr>
        <w:t>[3]</w:t>
      </w:r>
      <w:r w:rsidRPr="00AF5E0A">
        <w:rPr>
          <w:color w:val="222222"/>
          <w:sz w:val="24"/>
          <w:szCs w:val="24"/>
          <w:shd w:val="clear" w:color="auto" w:fill="FFFFFF"/>
          <w:lang/>
        </w:rPr>
        <w:t>. In addition, the high volatility of diacetyl is an important practical advantage for radiochemical applications. After elution, diacetyl can be readily removed by evaporation, allowing the eluate to be concentrated and transferred into a small-volume aqueous medium without introducing persistent organic residues</w:t>
      </w:r>
      <w:r w:rsidR="008F011D">
        <w:rPr>
          <w:color w:val="222222"/>
          <w:sz w:val="24"/>
          <w:szCs w:val="24"/>
          <w:shd w:val="clear" w:color="auto" w:fill="FFFFFF"/>
          <w:lang w:val="en-US"/>
        </w:rPr>
        <w:t xml:space="preserve"> [4]</w:t>
      </w:r>
      <w:r w:rsidRPr="00AF5E0A">
        <w:rPr>
          <w:color w:val="222222"/>
          <w:sz w:val="24"/>
          <w:szCs w:val="24"/>
          <w:shd w:val="clear" w:color="auto" w:fill="FFFFFF"/>
          <w:lang/>
        </w:rPr>
        <w:t>. This feature is particularly relevant for radionuclide purification procedures, where the final solution should be compatible with subsequent radiolabelling, formulation, or analytical control.</w:t>
      </w:r>
    </w:p>
    <w:p w14:paraId="4A9D4661" w14:textId="4484B486" w:rsidR="00AF5E0A" w:rsidRPr="00AF5E0A" w:rsidRDefault="00AF5E0A" w:rsidP="00AF5E0A">
      <w:pPr>
        <w:spacing w:line="240" w:lineRule="auto"/>
        <w:ind w:firstLine="425"/>
        <w:jc w:val="both"/>
        <w:rPr>
          <w:color w:val="222222"/>
          <w:sz w:val="24"/>
          <w:szCs w:val="24"/>
          <w:shd w:val="clear" w:color="auto" w:fill="FFFFFF"/>
          <w:lang/>
        </w:rPr>
      </w:pPr>
      <w:r w:rsidRPr="00AF5E0A">
        <w:rPr>
          <w:color w:val="222222"/>
          <w:sz w:val="24"/>
          <w:szCs w:val="24"/>
          <w:shd w:val="clear" w:color="auto" w:fill="FFFFFF"/>
          <w:lang/>
        </w:rPr>
        <w:t>The comparison of DOWEX 50WX8 and Chelex 100 provides insight into different retention mechanisms, including cation-exchange and chelation-based interactions. The obtained K</w:t>
      </w:r>
      <w:r w:rsidRPr="00114C9C">
        <w:rPr>
          <w:color w:val="222222"/>
          <w:sz w:val="24"/>
          <w:szCs w:val="24"/>
          <w:shd w:val="clear" w:color="auto" w:fill="FFFFFF"/>
          <w:vertAlign w:val="subscript"/>
          <w:lang/>
        </w:rPr>
        <w:t>d</w:t>
      </w:r>
      <w:r w:rsidRPr="00AF5E0A">
        <w:rPr>
          <w:color w:val="222222"/>
          <w:sz w:val="24"/>
          <w:szCs w:val="24"/>
          <w:shd w:val="clear" w:color="auto" w:fill="FFFFFF"/>
          <w:lang/>
        </w:rPr>
        <w:t>​ values reveal changes in element retention depending on hydrochloric acid concentration, diacetyl content, and resin functionality. Particular attention was given to elements relevant to radionuclide production, target material processing, and impurity control in nuclear medicine applications.</w:t>
      </w:r>
    </w:p>
    <w:p w14:paraId="0EA1E589" w14:textId="59051477" w:rsidR="00AF5E0A" w:rsidRDefault="00AF5E0A" w:rsidP="00AF5E0A">
      <w:pPr>
        <w:spacing w:line="240" w:lineRule="auto"/>
        <w:ind w:firstLine="425"/>
        <w:jc w:val="both"/>
        <w:rPr>
          <w:color w:val="222222"/>
          <w:sz w:val="24"/>
          <w:szCs w:val="24"/>
          <w:shd w:val="clear" w:color="auto" w:fill="FFFFFF"/>
          <w:lang/>
        </w:rPr>
      </w:pPr>
      <w:r w:rsidRPr="00AF5E0A">
        <w:rPr>
          <w:color w:val="222222"/>
          <w:sz w:val="24"/>
          <w:szCs w:val="24"/>
          <w:shd w:val="clear" w:color="auto" w:fill="FFFFFF"/>
          <w:lang/>
        </w:rPr>
        <w:t>The results provide a quantitative basis for selecting promising separation conditions in diacetyl/hydrochloric acid media and may contribute to the development of efficient purification schemes for medically relevant radionuclides.</w:t>
      </w:r>
    </w:p>
    <w:p w14:paraId="32EEF95E" w14:textId="03C3EE95" w:rsidR="00AF5E0A" w:rsidRDefault="00AF5E0A" w:rsidP="00AF5E0A">
      <w:pPr>
        <w:spacing w:line="240" w:lineRule="auto"/>
        <w:ind w:firstLine="425"/>
        <w:jc w:val="both"/>
        <w:rPr>
          <w:color w:val="222222"/>
          <w:sz w:val="24"/>
          <w:szCs w:val="24"/>
          <w:shd w:val="clear" w:color="auto" w:fill="FFFFFF"/>
          <w:lang/>
        </w:rPr>
      </w:pPr>
    </w:p>
    <w:p w14:paraId="58762957" w14:textId="57EDCB54" w:rsidR="00AF5E0A" w:rsidRDefault="00AF5E0A" w:rsidP="00AF5E0A">
      <w:pPr>
        <w:spacing w:line="240" w:lineRule="auto"/>
        <w:ind w:firstLine="425"/>
        <w:jc w:val="center"/>
        <w:rPr>
          <w:b/>
          <w:bCs/>
        </w:rPr>
      </w:pPr>
      <w:r w:rsidRPr="008E14EA">
        <w:rPr>
          <w:b/>
          <w:bCs/>
        </w:rPr>
        <w:t>Список</w:t>
      </w:r>
      <w:r w:rsidRPr="004522A2">
        <w:rPr>
          <w:b/>
          <w:bCs/>
          <w:lang w:val="en-US"/>
        </w:rPr>
        <w:t xml:space="preserve"> </w:t>
      </w:r>
      <w:r w:rsidRPr="008E14EA">
        <w:rPr>
          <w:b/>
          <w:bCs/>
        </w:rPr>
        <w:t>источников</w:t>
      </w:r>
    </w:p>
    <w:p w14:paraId="589E38CC" w14:textId="77777777" w:rsidR="008F011D" w:rsidRPr="004522A2" w:rsidRDefault="008F011D" w:rsidP="00AF5E0A">
      <w:pPr>
        <w:spacing w:line="240" w:lineRule="auto"/>
        <w:ind w:firstLine="425"/>
        <w:jc w:val="center"/>
        <w:rPr>
          <w:b/>
          <w:bCs/>
          <w:lang w:val="en-US"/>
        </w:rPr>
      </w:pPr>
    </w:p>
    <w:p w14:paraId="0EA4845A" w14:textId="168CDAF5" w:rsidR="00AF5E0A" w:rsidRPr="005205A6" w:rsidRDefault="005205A6" w:rsidP="005205A6">
      <w:pPr>
        <w:spacing w:line="240" w:lineRule="auto"/>
        <w:ind w:left="426" w:hanging="1"/>
        <w:jc w:val="both"/>
        <w:rPr>
          <w:color w:val="222222"/>
          <w:sz w:val="24"/>
          <w:szCs w:val="24"/>
          <w:shd w:val="clear" w:color="auto" w:fill="FFFFFF"/>
          <w:lang w:val="en-US"/>
        </w:rPr>
      </w:pPr>
      <w:r>
        <w:rPr>
          <w:color w:val="222222"/>
          <w:sz w:val="24"/>
          <w:szCs w:val="24"/>
          <w:shd w:val="clear" w:color="auto" w:fill="FFFFFF"/>
          <w:lang w:val="en-US"/>
        </w:rPr>
        <w:t xml:space="preserve">1. </w:t>
      </w:r>
      <w:r w:rsidRPr="005205A6">
        <w:rPr>
          <w:lang w:val="en-US"/>
        </w:rPr>
        <w:t xml:space="preserve">International Atomic Energy Agency, </w:t>
      </w:r>
      <w:r w:rsidRPr="005205A6">
        <w:rPr>
          <w:rStyle w:val="af"/>
          <w:i w:val="0"/>
          <w:iCs w:val="0"/>
          <w:lang w:val="en-US"/>
        </w:rPr>
        <w:t>Production of Long Lived Parent Radionuclides for Generators: ⁶⁸Ge, ⁸²Sr, ⁹⁰Sr and ¹⁸⁸W</w:t>
      </w:r>
      <w:r w:rsidRPr="005205A6">
        <w:rPr>
          <w:lang w:val="en-US"/>
        </w:rPr>
        <w:t>, IAEA, Vienna (2010).</w:t>
      </w:r>
    </w:p>
    <w:p w14:paraId="2130F1D8" w14:textId="2EA6969A" w:rsidR="003327B3" w:rsidRDefault="003327B3" w:rsidP="005205A6">
      <w:pPr>
        <w:spacing w:line="240" w:lineRule="auto"/>
        <w:ind w:firstLine="425"/>
        <w:rPr>
          <w:lang w:val="en-US"/>
        </w:rPr>
      </w:pPr>
      <w:r w:rsidRPr="003327B3">
        <w:rPr>
          <w:lang w:val="en-US"/>
        </w:rPr>
        <w:t>2</w:t>
      </w:r>
      <w:r w:rsidR="005205A6" w:rsidRPr="004522A2">
        <w:rPr>
          <w:lang w:val="en-US"/>
        </w:rPr>
        <w:t xml:space="preserve">. </w:t>
      </w:r>
      <w:r w:rsidRPr="003327B3">
        <w:rPr>
          <w:lang w:val="en-US"/>
        </w:rPr>
        <w:t xml:space="preserve">N. A. </w:t>
      </w:r>
      <w:proofErr w:type="spellStart"/>
      <w:r w:rsidRPr="003327B3">
        <w:rPr>
          <w:lang w:val="en-US"/>
        </w:rPr>
        <w:t>Mirzaev</w:t>
      </w:r>
      <w:proofErr w:type="spellEnd"/>
      <w:r w:rsidRPr="003327B3">
        <w:rPr>
          <w:lang w:val="en-US"/>
        </w:rPr>
        <w:t xml:space="preserve"> [et al.], Russian Journal of Physical Chemistry A. 94, 1190 (2020).</w:t>
      </w:r>
    </w:p>
    <w:p w14:paraId="3C92FE16" w14:textId="77777777" w:rsidR="008F011D" w:rsidRDefault="003327B3" w:rsidP="005205A6">
      <w:pPr>
        <w:spacing w:line="240" w:lineRule="auto"/>
        <w:ind w:firstLine="425"/>
        <w:rPr>
          <w:lang w:val="en-US"/>
        </w:rPr>
      </w:pPr>
      <w:r w:rsidRPr="003327B3">
        <w:rPr>
          <w:lang w:val="en-US"/>
        </w:rPr>
        <w:t>3</w:t>
      </w:r>
      <w:r w:rsidR="005205A6">
        <w:rPr>
          <w:lang w:val="en-US"/>
        </w:rPr>
        <w:t xml:space="preserve">. </w:t>
      </w:r>
      <w:r w:rsidR="008F011D" w:rsidRPr="003327B3">
        <w:rPr>
          <w:lang w:val="en-US"/>
        </w:rPr>
        <w:t xml:space="preserve">F. W. E. Strelow [et al.], Analytical Chemistry. 54 (3), 457–462 (1982). </w:t>
      </w:r>
    </w:p>
    <w:p w14:paraId="40E263E6" w14:textId="2BDEDEA4" w:rsidR="003327B3" w:rsidRDefault="008F011D" w:rsidP="005205A6">
      <w:pPr>
        <w:spacing w:line="240" w:lineRule="auto"/>
        <w:ind w:firstLine="425"/>
        <w:rPr>
          <w:lang w:val="en-US"/>
        </w:rPr>
      </w:pPr>
      <w:r>
        <w:rPr>
          <w:lang w:val="en-US"/>
        </w:rPr>
        <w:t xml:space="preserve">4. </w:t>
      </w:r>
      <w:r w:rsidR="003327B3" w:rsidRPr="003327B3">
        <w:rPr>
          <w:lang w:val="en-US"/>
        </w:rPr>
        <w:t xml:space="preserve">E. M. F. Lima [et al.], Molecules. 31 (4), 663 (2026). </w:t>
      </w:r>
    </w:p>
    <w:p w14:paraId="23E0E71F" w14:textId="060F586C" w:rsidR="00AF5E0A" w:rsidRDefault="00AF5E0A" w:rsidP="00AF5E0A">
      <w:pPr>
        <w:spacing w:line="240" w:lineRule="auto"/>
        <w:ind w:firstLine="425"/>
        <w:jc w:val="both"/>
        <w:rPr>
          <w:color w:val="222222"/>
          <w:sz w:val="24"/>
          <w:szCs w:val="24"/>
          <w:shd w:val="clear" w:color="auto" w:fill="FFFFFF"/>
          <w:lang/>
        </w:rPr>
      </w:pPr>
    </w:p>
    <w:sectPr w:rsidR="00AF5E0A" w:rsidSect="00316F7A">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78F1" w14:textId="77777777" w:rsidR="001C561E" w:rsidRDefault="001C561E" w:rsidP="00316F7A">
      <w:pPr>
        <w:spacing w:line="240" w:lineRule="auto"/>
      </w:pPr>
      <w:r>
        <w:separator/>
      </w:r>
    </w:p>
  </w:endnote>
  <w:endnote w:type="continuationSeparator" w:id="0">
    <w:p w14:paraId="1BEFA706" w14:textId="77777777" w:rsidR="001C561E" w:rsidRDefault="001C561E" w:rsidP="00316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0C7C" w14:textId="77777777" w:rsidR="001C561E" w:rsidRDefault="001C561E" w:rsidP="00316F7A">
      <w:pPr>
        <w:spacing w:line="240" w:lineRule="auto"/>
      </w:pPr>
      <w:r>
        <w:separator/>
      </w:r>
    </w:p>
  </w:footnote>
  <w:footnote w:type="continuationSeparator" w:id="0">
    <w:p w14:paraId="3DB1E360" w14:textId="77777777" w:rsidR="001C561E" w:rsidRDefault="001C561E" w:rsidP="00316F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6D"/>
    <w:rsid w:val="0000183C"/>
    <w:rsid w:val="00004DF6"/>
    <w:rsid w:val="00007BEE"/>
    <w:rsid w:val="00021385"/>
    <w:rsid w:val="00024017"/>
    <w:rsid w:val="000556EB"/>
    <w:rsid w:val="000C518C"/>
    <w:rsid w:val="000D63A8"/>
    <w:rsid w:val="001130E0"/>
    <w:rsid w:val="00114C9C"/>
    <w:rsid w:val="00145005"/>
    <w:rsid w:val="00160662"/>
    <w:rsid w:val="00161CD5"/>
    <w:rsid w:val="001B2EE3"/>
    <w:rsid w:val="001C1D86"/>
    <w:rsid w:val="001C561E"/>
    <w:rsid w:val="001F57A2"/>
    <w:rsid w:val="002019A1"/>
    <w:rsid w:val="00213456"/>
    <w:rsid w:val="00232C05"/>
    <w:rsid w:val="0023757E"/>
    <w:rsid w:val="00283366"/>
    <w:rsid w:val="00283FDA"/>
    <w:rsid w:val="00296F0E"/>
    <w:rsid w:val="002B2532"/>
    <w:rsid w:val="002C736D"/>
    <w:rsid w:val="00312846"/>
    <w:rsid w:val="00316F7A"/>
    <w:rsid w:val="00324ABA"/>
    <w:rsid w:val="003327B3"/>
    <w:rsid w:val="003767C7"/>
    <w:rsid w:val="003865D3"/>
    <w:rsid w:val="00391C7E"/>
    <w:rsid w:val="003E01E4"/>
    <w:rsid w:val="003F2ECB"/>
    <w:rsid w:val="00411846"/>
    <w:rsid w:val="004160FA"/>
    <w:rsid w:val="004522A2"/>
    <w:rsid w:val="00494626"/>
    <w:rsid w:val="004C66A5"/>
    <w:rsid w:val="004D674C"/>
    <w:rsid w:val="004F37ED"/>
    <w:rsid w:val="00502F67"/>
    <w:rsid w:val="005205A6"/>
    <w:rsid w:val="00523724"/>
    <w:rsid w:val="00531E53"/>
    <w:rsid w:val="00555ACF"/>
    <w:rsid w:val="00556802"/>
    <w:rsid w:val="00576FDD"/>
    <w:rsid w:val="00577332"/>
    <w:rsid w:val="005806B5"/>
    <w:rsid w:val="0058314A"/>
    <w:rsid w:val="00597772"/>
    <w:rsid w:val="005A5A07"/>
    <w:rsid w:val="005C48CF"/>
    <w:rsid w:val="005F035E"/>
    <w:rsid w:val="00641380"/>
    <w:rsid w:val="006570F3"/>
    <w:rsid w:val="006740BC"/>
    <w:rsid w:val="00675244"/>
    <w:rsid w:val="00683C2B"/>
    <w:rsid w:val="00684FF4"/>
    <w:rsid w:val="00685934"/>
    <w:rsid w:val="006A432B"/>
    <w:rsid w:val="006E2FBB"/>
    <w:rsid w:val="006E6129"/>
    <w:rsid w:val="006F7851"/>
    <w:rsid w:val="00726FD2"/>
    <w:rsid w:val="0073184C"/>
    <w:rsid w:val="00740A28"/>
    <w:rsid w:val="007812F3"/>
    <w:rsid w:val="00791BC1"/>
    <w:rsid w:val="007B63A7"/>
    <w:rsid w:val="00810A02"/>
    <w:rsid w:val="008114EA"/>
    <w:rsid w:val="008204D9"/>
    <w:rsid w:val="00820732"/>
    <w:rsid w:val="0083649F"/>
    <w:rsid w:val="00850149"/>
    <w:rsid w:val="008C51D0"/>
    <w:rsid w:val="008E14EA"/>
    <w:rsid w:val="008F011D"/>
    <w:rsid w:val="008F7528"/>
    <w:rsid w:val="00902F2C"/>
    <w:rsid w:val="0091379A"/>
    <w:rsid w:val="0097427E"/>
    <w:rsid w:val="00986003"/>
    <w:rsid w:val="00987905"/>
    <w:rsid w:val="009B4BB3"/>
    <w:rsid w:val="009E65C0"/>
    <w:rsid w:val="00A0627F"/>
    <w:rsid w:val="00A271D7"/>
    <w:rsid w:val="00A44E82"/>
    <w:rsid w:val="00A57B4E"/>
    <w:rsid w:val="00A75089"/>
    <w:rsid w:val="00AA0072"/>
    <w:rsid w:val="00AA44D7"/>
    <w:rsid w:val="00AD46E6"/>
    <w:rsid w:val="00AD5C55"/>
    <w:rsid w:val="00AF5D8F"/>
    <w:rsid w:val="00AF5E0A"/>
    <w:rsid w:val="00B02A54"/>
    <w:rsid w:val="00B06CBE"/>
    <w:rsid w:val="00B16DD8"/>
    <w:rsid w:val="00B17FCF"/>
    <w:rsid w:val="00B33D7F"/>
    <w:rsid w:val="00B46901"/>
    <w:rsid w:val="00B6003E"/>
    <w:rsid w:val="00B656AA"/>
    <w:rsid w:val="00B91B4D"/>
    <w:rsid w:val="00B926D6"/>
    <w:rsid w:val="00BA498D"/>
    <w:rsid w:val="00BF15CB"/>
    <w:rsid w:val="00C04F4C"/>
    <w:rsid w:val="00C11644"/>
    <w:rsid w:val="00C5014E"/>
    <w:rsid w:val="00C57FBB"/>
    <w:rsid w:val="00C675DB"/>
    <w:rsid w:val="00C72B86"/>
    <w:rsid w:val="00C837F5"/>
    <w:rsid w:val="00C83F31"/>
    <w:rsid w:val="00CA15F1"/>
    <w:rsid w:val="00CC57CC"/>
    <w:rsid w:val="00CF0185"/>
    <w:rsid w:val="00D11670"/>
    <w:rsid w:val="00D3396C"/>
    <w:rsid w:val="00D45128"/>
    <w:rsid w:val="00D474AE"/>
    <w:rsid w:val="00D67959"/>
    <w:rsid w:val="00D8694D"/>
    <w:rsid w:val="00D9719E"/>
    <w:rsid w:val="00DA3137"/>
    <w:rsid w:val="00DD5E25"/>
    <w:rsid w:val="00DE2E30"/>
    <w:rsid w:val="00DF639D"/>
    <w:rsid w:val="00E07B7F"/>
    <w:rsid w:val="00E27719"/>
    <w:rsid w:val="00E304E4"/>
    <w:rsid w:val="00E45C25"/>
    <w:rsid w:val="00E577DF"/>
    <w:rsid w:val="00E712DD"/>
    <w:rsid w:val="00F1697D"/>
    <w:rsid w:val="00F2031E"/>
    <w:rsid w:val="00F236F4"/>
    <w:rsid w:val="00F64221"/>
    <w:rsid w:val="00F6546C"/>
    <w:rsid w:val="00F7280B"/>
    <w:rsid w:val="00F97DD9"/>
    <w:rsid w:val="00FE2E53"/>
    <w:rsid w:val="00FE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4C29"/>
  <w15:chartTrackingRefBased/>
  <w15:docId w15:val="{7B4082D5-D51E-440F-B9E3-B718AC74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5A6"/>
    <w:pPr>
      <w:spacing w:after="0" w:line="276" w:lineRule="auto"/>
      <w:ind w:firstLine="0"/>
      <w:jc w:val="left"/>
    </w:pPr>
    <w:rPr>
      <w:rFonts w:cs="Arial"/>
      <w:kern w:val="0"/>
      <w:sz w:val="22"/>
      <w14:ligatures w14:val="none"/>
    </w:rPr>
  </w:style>
  <w:style w:type="paragraph" w:styleId="1">
    <w:name w:val="heading 1"/>
    <w:basedOn w:val="a"/>
    <w:next w:val="a"/>
    <w:link w:val="10"/>
    <w:uiPriority w:val="9"/>
    <w:qFormat/>
    <w:rsid w:val="00A75089"/>
    <w:pPr>
      <w:keepNext/>
      <w:keepLines/>
      <w:spacing w:before="240" w:after="160" w:line="360" w:lineRule="auto"/>
      <w:ind w:firstLine="567"/>
      <w:jc w:val="both"/>
      <w:outlineLvl w:val="0"/>
    </w:pPr>
    <w:rPr>
      <w:rFonts w:eastAsiaTheme="majorEastAsia" w:cstheme="majorBidi"/>
      <w:b/>
      <w:color w:val="000000" w:themeColor="text1"/>
      <w:kern w:val="2"/>
      <w:sz w:val="24"/>
      <w:szCs w:val="32"/>
      <w14:ligatures w14:val="standardContextual"/>
    </w:rPr>
  </w:style>
  <w:style w:type="paragraph" w:styleId="2">
    <w:name w:val="heading 2"/>
    <w:basedOn w:val="a"/>
    <w:next w:val="a"/>
    <w:link w:val="20"/>
    <w:uiPriority w:val="9"/>
    <w:semiHidden/>
    <w:unhideWhenUsed/>
    <w:qFormat/>
    <w:rsid w:val="00A75089"/>
    <w:pPr>
      <w:keepNext/>
      <w:keepLines/>
      <w:spacing w:before="40" w:after="160" w:line="360" w:lineRule="auto"/>
      <w:ind w:firstLine="567"/>
      <w:jc w:val="both"/>
      <w:outlineLvl w:val="1"/>
    </w:pPr>
    <w:rPr>
      <w:rFonts w:eastAsiaTheme="majorEastAsia" w:cstheme="majorBidi"/>
      <w:color w:val="000000" w:themeColor="text1"/>
      <w:kern w:val="2"/>
      <w:sz w:val="24"/>
      <w:szCs w:val="2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089"/>
    <w:rPr>
      <w:rFonts w:ascii="Times New Roman" w:eastAsiaTheme="majorEastAsia" w:hAnsi="Times New Roman" w:cstheme="majorBidi"/>
      <w:b/>
      <w:color w:val="000000" w:themeColor="text1"/>
      <w:sz w:val="24"/>
      <w:szCs w:val="32"/>
    </w:rPr>
  </w:style>
  <w:style w:type="character" w:customStyle="1" w:styleId="20">
    <w:name w:val="Заголовок 2 Знак"/>
    <w:basedOn w:val="a0"/>
    <w:link w:val="2"/>
    <w:uiPriority w:val="9"/>
    <w:semiHidden/>
    <w:rsid w:val="00A75089"/>
    <w:rPr>
      <w:rFonts w:ascii="Times New Roman" w:eastAsiaTheme="majorEastAsia" w:hAnsi="Times New Roman" w:cstheme="majorBidi"/>
      <w:color w:val="000000" w:themeColor="text1"/>
      <w:sz w:val="24"/>
      <w:szCs w:val="26"/>
    </w:rPr>
  </w:style>
  <w:style w:type="paragraph" w:styleId="a3">
    <w:name w:val="Title"/>
    <w:basedOn w:val="a"/>
    <w:next w:val="a"/>
    <w:link w:val="a4"/>
    <w:uiPriority w:val="10"/>
    <w:qFormat/>
    <w:rsid w:val="00283FDA"/>
    <w:pPr>
      <w:spacing w:line="240" w:lineRule="auto"/>
      <w:ind w:firstLine="709"/>
      <w:contextualSpacing/>
    </w:pPr>
    <w:rPr>
      <w:rFonts w:eastAsiaTheme="majorEastAsia" w:cstheme="majorBidi"/>
      <w:b/>
      <w:spacing w:val="-10"/>
      <w:kern w:val="28"/>
      <w:sz w:val="24"/>
      <w:szCs w:val="56"/>
      <w14:ligatures w14:val="standardContextual"/>
    </w:rPr>
  </w:style>
  <w:style w:type="character" w:customStyle="1" w:styleId="a4">
    <w:name w:val="Заголовок Знак"/>
    <w:basedOn w:val="a0"/>
    <w:link w:val="a3"/>
    <w:uiPriority w:val="10"/>
    <w:rsid w:val="00283FDA"/>
    <w:rPr>
      <w:rFonts w:eastAsiaTheme="majorEastAsia" w:cstheme="majorBidi"/>
      <w:b/>
      <w:spacing w:val="-10"/>
      <w:kern w:val="28"/>
      <w:szCs w:val="56"/>
    </w:rPr>
  </w:style>
  <w:style w:type="paragraph" w:styleId="a5">
    <w:name w:val="Subtitle"/>
    <w:basedOn w:val="a"/>
    <w:next w:val="a"/>
    <w:link w:val="a6"/>
    <w:uiPriority w:val="11"/>
    <w:qFormat/>
    <w:rsid w:val="00283FDA"/>
    <w:pPr>
      <w:numPr>
        <w:ilvl w:val="1"/>
      </w:numPr>
      <w:spacing w:line="360" w:lineRule="auto"/>
      <w:ind w:firstLine="709"/>
    </w:pPr>
    <w:rPr>
      <w:rFonts w:eastAsiaTheme="minorEastAsia" w:cstheme="minorBidi"/>
      <w:color w:val="000000" w:themeColor="text1"/>
      <w:kern w:val="2"/>
      <w:sz w:val="24"/>
      <w14:ligatures w14:val="standardContextual"/>
    </w:rPr>
  </w:style>
  <w:style w:type="character" w:customStyle="1" w:styleId="a6">
    <w:name w:val="Подзаголовок Знак"/>
    <w:basedOn w:val="a0"/>
    <w:link w:val="a5"/>
    <w:uiPriority w:val="11"/>
    <w:rsid w:val="00283FDA"/>
    <w:rPr>
      <w:rFonts w:eastAsiaTheme="minorEastAsia"/>
      <w:color w:val="000000" w:themeColor="text1"/>
    </w:rPr>
  </w:style>
  <w:style w:type="table" w:styleId="a7">
    <w:name w:val="Table Grid"/>
    <w:basedOn w:val="a1"/>
    <w:uiPriority w:val="39"/>
    <w:rsid w:val="007B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E14EA"/>
    <w:rPr>
      <w:color w:val="0563C1" w:themeColor="hyperlink"/>
      <w:u w:val="single"/>
    </w:rPr>
  </w:style>
  <w:style w:type="character" w:styleId="a9">
    <w:name w:val="Unresolved Mention"/>
    <w:basedOn w:val="a0"/>
    <w:uiPriority w:val="99"/>
    <w:semiHidden/>
    <w:unhideWhenUsed/>
    <w:rsid w:val="008E14EA"/>
    <w:rPr>
      <w:color w:val="605E5C"/>
      <w:shd w:val="clear" w:color="auto" w:fill="E1DFDD"/>
    </w:rPr>
  </w:style>
  <w:style w:type="paragraph" w:styleId="aa">
    <w:name w:val="header"/>
    <w:basedOn w:val="a"/>
    <w:link w:val="ab"/>
    <w:uiPriority w:val="99"/>
    <w:unhideWhenUsed/>
    <w:rsid w:val="00316F7A"/>
    <w:pPr>
      <w:tabs>
        <w:tab w:val="center" w:pos="4677"/>
        <w:tab w:val="right" w:pos="9355"/>
      </w:tabs>
      <w:spacing w:line="240" w:lineRule="auto"/>
    </w:pPr>
  </w:style>
  <w:style w:type="character" w:customStyle="1" w:styleId="ab">
    <w:name w:val="Верхний колонтитул Знак"/>
    <w:basedOn w:val="a0"/>
    <w:link w:val="aa"/>
    <w:uiPriority w:val="99"/>
    <w:rsid w:val="00316F7A"/>
    <w:rPr>
      <w:rFonts w:cs="Arial"/>
      <w:kern w:val="0"/>
      <w:sz w:val="22"/>
      <w14:ligatures w14:val="none"/>
    </w:rPr>
  </w:style>
  <w:style w:type="paragraph" w:styleId="ac">
    <w:name w:val="footer"/>
    <w:basedOn w:val="a"/>
    <w:link w:val="ad"/>
    <w:uiPriority w:val="99"/>
    <w:unhideWhenUsed/>
    <w:rsid w:val="00316F7A"/>
    <w:pPr>
      <w:tabs>
        <w:tab w:val="center" w:pos="4677"/>
        <w:tab w:val="right" w:pos="9355"/>
      </w:tabs>
      <w:spacing w:line="240" w:lineRule="auto"/>
    </w:pPr>
  </w:style>
  <w:style w:type="character" w:customStyle="1" w:styleId="ad">
    <w:name w:val="Нижний колонтитул Знак"/>
    <w:basedOn w:val="a0"/>
    <w:link w:val="ac"/>
    <w:uiPriority w:val="99"/>
    <w:rsid w:val="00316F7A"/>
    <w:rPr>
      <w:rFonts w:cs="Arial"/>
      <w:kern w:val="0"/>
      <w:sz w:val="22"/>
      <w14:ligatures w14:val="none"/>
    </w:rPr>
  </w:style>
  <w:style w:type="paragraph" w:styleId="ae">
    <w:name w:val="Normal (Web)"/>
    <w:basedOn w:val="a"/>
    <w:uiPriority w:val="99"/>
    <w:semiHidden/>
    <w:unhideWhenUsed/>
    <w:rsid w:val="00AF5E0A"/>
    <w:pPr>
      <w:spacing w:before="100" w:beforeAutospacing="1" w:after="100" w:afterAutospacing="1" w:line="240" w:lineRule="auto"/>
    </w:pPr>
    <w:rPr>
      <w:rFonts w:eastAsia="Times New Roman" w:cs="Times New Roman"/>
      <w:sz w:val="24"/>
      <w:szCs w:val="24"/>
      <w:lang/>
    </w:rPr>
  </w:style>
  <w:style w:type="character" w:customStyle="1" w:styleId="katex-mathml">
    <w:name w:val="katex-mathml"/>
    <w:basedOn w:val="a0"/>
    <w:rsid w:val="00AF5E0A"/>
  </w:style>
  <w:style w:type="character" w:customStyle="1" w:styleId="mord">
    <w:name w:val="mord"/>
    <w:basedOn w:val="a0"/>
    <w:rsid w:val="00AF5E0A"/>
  </w:style>
  <w:style w:type="character" w:customStyle="1" w:styleId="vlist-s">
    <w:name w:val="vlist-s"/>
    <w:basedOn w:val="a0"/>
    <w:rsid w:val="00AF5E0A"/>
  </w:style>
  <w:style w:type="character" w:styleId="af">
    <w:name w:val="Emphasis"/>
    <w:basedOn w:val="a0"/>
    <w:uiPriority w:val="20"/>
    <w:qFormat/>
    <w:rsid w:val="00520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577">
      <w:bodyDiv w:val="1"/>
      <w:marLeft w:val="0"/>
      <w:marRight w:val="0"/>
      <w:marTop w:val="0"/>
      <w:marBottom w:val="0"/>
      <w:divBdr>
        <w:top w:val="none" w:sz="0" w:space="0" w:color="auto"/>
        <w:left w:val="none" w:sz="0" w:space="0" w:color="auto"/>
        <w:bottom w:val="none" w:sz="0" w:space="0" w:color="auto"/>
        <w:right w:val="none" w:sz="0" w:space="0" w:color="auto"/>
      </w:divBdr>
    </w:div>
    <w:div w:id="145634258">
      <w:bodyDiv w:val="1"/>
      <w:marLeft w:val="0"/>
      <w:marRight w:val="0"/>
      <w:marTop w:val="0"/>
      <w:marBottom w:val="0"/>
      <w:divBdr>
        <w:top w:val="none" w:sz="0" w:space="0" w:color="auto"/>
        <w:left w:val="none" w:sz="0" w:space="0" w:color="auto"/>
        <w:bottom w:val="none" w:sz="0" w:space="0" w:color="auto"/>
        <w:right w:val="none" w:sz="0" w:space="0" w:color="auto"/>
      </w:divBdr>
    </w:div>
    <w:div w:id="215432463">
      <w:bodyDiv w:val="1"/>
      <w:marLeft w:val="0"/>
      <w:marRight w:val="0"/>
      <w:marTop w:val="0"/>
      <w:marBottom w:val="0"/>
      <w:divBdr>
        <w:top w:val="none" w:sz="0" w:space="0" w:color="auto"/>
        <w:left w:val="none" w:sz="0" w:space="0" w:color="auto"/>
        <w:bottom w:val="none" w:sz="0" w:space="0" w:color="auto"/>
        <w:right w:val="none" w:sz="0" w:space="0" w:color="auto"/>
      </w:divBdr>
    </w:div>
    <w:div w:id="512570793">
      <w:bodyDiv w:val="1"/>
      <w:marLeft w:val="0"/>
      <w:marRight w:val="0"/>
      <w:marTop w:val="0"/>
      <w:marBottom w:val="0"/>
      <w:divBdr>
        <w:top w:val="none" w:sz="0" w:space="0" w:color="auto"/>
        <w:left w:val="none" w:sz="0" w:space="0" w:color="auto"/>
        <w:bottom w:val="none" w:sz="0" w:space="0" w:color="auto"/>
        <w:right w:val="none" w:sz="0" w:space="0" w:color="auto"/>
      </w:divBdr>
    </w:div>
    <w:div w:id="848254117">
      <w:bodyDiv w:val="1"/>
      <w:marLeft w:val="0"/>
      <w:marRight w:val="0"/>
      <w:marTop w:val="0"/>
      <w:marBottom w:val="0"/>
      <w:divBdr>
        <w:top w:val="none" w:sz="0" w:space="0" w:color="auto"/>
        <w:left w:val="none" w:sz="0" w:space="0" w:color="auto"/>
        <w:bottom w:val="none" w:sz="0" w:space="0" w:color="auto"/>
        <w:right w:val="none" w:sz="0" w:space="0" w:color="auto"/>
      </w:divBdr>
    </w:div>
    <w:div w:id="1421171157">
      <w:bodyDiv w:val="1"/>
      <w:marLeft w:val="0"/>
      <w:marRight w:val="0"/>
      <w:marTop w:val="0"/>
      <w:marBottom w:val="0"/>
      <w:divBdr>
        <w:top w:val="none" w:sz="0" w:space="0" w:color="auto"/>
        <w:left w:val="none" w:sz="0" w:space="0" w:color="auto"/>
        <w:bottom w:val="none" w:sz="0" w:space="0" w:color="auto"/>
        <w:right w:val="none" w:sz="0" w:space="0" w:color="auto"/>
      </w:divBdr>
    </w:div>
    <w:div w:id="1485664095">
      <w:bodyDiv w:val="1"/>
      <w:marLeft w:val="0"/>
      <w:marRight w:val="0"/>
      <w:marTop w:val="0"/>
      <w:marBottom w:val="0"/>
      <w:divBdr>
        <w:top w:val="none" w:sz="0" w:space="0" w:color="auto"/>
        <w:left w:val="none" w:sz="0" w:space="0" w:color="auto"/>
        <w:bottom w:val="none" w:sz="0" w:space="0" w:color="auto"/>
        <w:right w:val="none" w:sz="0" w:space="0" w:color="auto"/>
      </w:divBdr>
    </w:div>
    <w:div w:id="1824197808">
      <w:bodyDiv w:val="1"/>
      <w:marLeft w:val="0"/>
      <w:marRight w:val="0"/>
      <w:marTop w:val="0"/>
      <w:marBottom w:val="0"/>
      <w:divBdr>
        <w:top w:val="none" w:sz="0" w:space="0" w:color="auto"/>
        <w:left w:val="none" w:sz="0" w:space="0" w:color="auto"/>
        <w:bottom w:val="none" w:sz="0" w:space="0" w:color="auto"/>
        <w:right w:val="none" w:sz="0" w:space="0" w:color="auto"/>
      </w:divBdr>
    </w:div>
    <w:div w:id="18877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omedov@jin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1BB8-A670-4C86-BFE6-552FC2F8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coldsaner@gmail.com</dc:creator>
  <cp:keywords/>
  <dc:description/>
  <cp:lastModifiedBy>Газимагомед Магомедов</cp:lastModifiedBy>
  <cp:revision>2</cp:revision>
  <cp:lastPrinted>2026-05-26T10:51:00Z</cp:lastPrinted>
  <dcterms:created xsi:type="dcterms:W3CDTF">2026-05-30T10:54:00Z</dcterms:created>
  <dcterms:modified xsi:type="dcterms:W3CDTF">2026-05-30T10:54:00Z</dcterms:modified>
</cp:coreProperties>
</file>